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1B" w:rsidRPr="005A730F" w:rsidRDefault="0030481B" w:rsidP="0030481B">
      <w:pPr>
        <w:rPr>
          <w:rFonts w:eastAsia="黑体"/>
          <w:sz w:val="32"/>
          <w:szCs w:val="32"/>
        </w:rPr>
      </w:pPr>
      <w:r w:rsidRPr="005A730F">
        <w:rPr>
          <w:rFonts w:eastAsia="黑体"/>
          <w:sz w:val="32"/>
          <w:szCs w:val="32"/>
        </w:rPr>
        <w:t>附件</w:t>
      </w:r>
    </w:p>
    <w:p w:rsidR="0030481B" w:rsidRPr="005A730F" w:rsidRDefault="0030481B" w:rsidP="0030481B">
      <w:pPr>
        <w:spacing w:line="360" w:lineRule="auto"/>
        <w:rPr>
          <w:rFonts w:eastAsia="黑体"/>
          <w:sz w:val="44"/>
          <w:szCs w:val="44"/>
        </w:rPr>
      </w:pPr>
    </w:p>
    <w:p w:rsidR="0030481B" w:rsidRPr="005A730F" w:rsidRDefault="0030481B" w:rsidP="0030481B">
      <w:pPr>
        <w:spacing w:line="360" w:lineRule="auto"/>
        <w:jc w:val="center"/>
        <w:rPr>
          <w:rFonts w:eastAsia="方正小标宋简体"/>
          <w:sz w:val="44"/>
          <w:szCs w:val="44"/>
        </w:rPr>
      </w:pPr>
      <w:r w:rsidRPr="005A730F">
        <w:rPr>
          <w:rFonts w:eastAsia="方正小标宋简体" w:hint="eastAsia"/>
          <w:sz w:val="44"/>
          <w:szCs w:val="44"/>
        </w:rPr>
        <w:t>罗格列</w:t>
      </w:r>
      <w:proofErr w:type="gramStart"/>
      <w:r w:rsidRPr="005A730F">
        <w:rPr>
          <w:rFonts w:eastAsia="方正小标宋简体" w:hint="eastAsia"/>
          <w:sz w:val="44"/>
          <w:szCs w:val="44"/>
        </w:rPr>
        <w:t>酮及其</w:t>
      </w:r>
      <w:proofErr w:type="gramEnd"/>
      <w:r w:rsidRPr="005A730F">
        <w:rPr>
          <w:rFonts w:eastAsia="方正小标宋简体" w:hint="eastAsia"/>
          <w:sz w:val="44"/>
          <w:szCs w:val="44"/>
        </w:rPr>
        <w:t>复方制剂</w:t>
      </w:r>
      <w:r w:rsidRPr="005A730F">
        <w:rPr>
          <w:rFonts w:eastAsia="方正小标宋简体"/>
          <w:sz w:val="44"/>
          <w:szCs w:val="44"/>
        </w:rPr>
        <w:t>说明书修订要求</w:t>
      </w:r>
    </w:p>
    <w:p w:rsidR="0030481B" w:rsidRPr="005A730F" w:rsidRDefault="0030481B" w:rsidP="0030481B">
      <w:pPr>
        <w:rPr>
          <w:rFonts w:ascii="仿宋_GB2312" w:eastAsia="仿宋_GB2312" w:hAnsi="华文仿宋"/>
          <w:sz w:val="18"/>
          <w:szCs w:val="18"/>
        </w:rPr>
      </w:pPr>
    </w:p>
    <w:p w:rsidR="0030481B" w:rsidRPr="005A730F" w:rsidRDefault="0030481B" w:rsidP="0030481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A730F">
        <w:rPr>
          <w:rFonts w:ascii="黑体" w:eastAsia="黑体" w:hAnsi="黑体" w:hint="eastAsia"/>
          <w:sz w:val="32"/>
          <w:szCs w:val="32"/>
        </w:rPr>
        <w:t>一、警示语</w:t>
      </w:r>
    </w:p>
    <w:p w:rsidR="0030481B" w:rsidRPr="005A730F" w:rsidRDefault="0030481B" w:rsidP="0030481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A730F">
        <w:rPr>
          <w:rFonts w:eastAsia="仿宋_GB2312"/>
          <w:sz w:val="32"/>
          <w:szCs w:val="32"/>
        </w:rPr>
        <w:t>【警示语】修订为：</w:t>
      </w:r>
      <w:bookmarkStart w:id="0" w:name="OLE_LINK6"/>
      <w:bookmarkEnd w:id="0"/>
      <w:r w:rsidRPr="005A730F">
        <w:rPr>
          <w:rFonts w:eastAsia="仿宋_GB2312"/>
          <w:sz w:val="32"/>
          <w:szCs w:val="32"/>
        </w:rPr>
        <w:t>“</w:t>
      </w:r>
      <w:r w:rsidRPr="005A730F">
        <w:rPr>
          <w:rFonts w:eastAsia="仿宋_GB2312"/>
          <w:sz w:val="32"/>
          <w:szCs w:val="32"/>
        </w:rPr>
        <w:t>噻唑烷二酮类药物，包括罗格列酮，在少数患者中有导致或加重充血性心衰的危险。开始使用本品或用药剂量增加时，应严密监测患者心衰的症状和体征（包括体重异常快速增加、呼吸困难和／或水肿）。如果出现心力衰竭的症状和体征，应按照标准心衰治疗方案进行控制，此外应考虑停用本品或减少剂量。有心衰病史或有心衰危险因素的患者禁用本品。</w:t>
      </w:r>
      <w:r w:rsidRPr="005A730F">
        <w:rPr>
          <w:rFonts w:eastAsia="仿宋_GB2312"/>
          <w:sz w:val="32"/>
          <w:szCs w:val="32"/>
        </w:rPr>
        <w:t>”</w:t>
      </w:r>
    </w:p>
    <w:p w:rsidR="0030481B" w:rsidRPr="005A730F" w:rsidRDefault="0030481B" w:rsidP="0030481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A730F">
        <w:rPr>
          <w:rFonts w:ascii="黑体" w:eastAsia="黑体" w:hAnsi="黑体" w:hint="eastAsia"/>
          <w:sz w:val="32"/>
          <w:szCs w:val="32"/>
        </w:rPr>
        <w:t>二、适应症</w:t>
      </w:r>
    </w:p>
    <w:p w:rsidR="0030481B" w:rsidRPr="005A730F" w:rsidRDefault="0030481B" w:rsidP="0030481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A730F">
        <w:rPr>
          <w:rFonts w:eastAsia="仿宋_GB2312"/>
          <w:sz w:val="32"/>
          <w:szCs w:val="32"/>
        </w:rPr>
        <w:t>【适应症】删除</w:t>
      </w:r>
      <w:r w:rsidRPr="005A730F">
        <w:rPr>
          <w:rFonts w:eastAsia="仿宋_GB2312"/>
          <w:sz w:val="32"/>
          <w:szCs w:val="32"/>
        </w:rPr>
        <w:t>“</w:t>
      </w:r>
      <w:r w:rsidRPr="005A730F">
        <w:rPr>
          <w:rFonts w:eastAsia="仿宋_GB2312"/>
          <w:sz w:val="32"/>
          <w:szCs w:val="32"/>
        </w:rPr>
        <w:t>本品仅适用于其他降糖药无法达到血糖控制目标的</w:t>
      </w:r>
      <w:r w:rsidRPr="005A730F">
        <w:rPr>
          <w:rFonts w:eastAsia="仿宋_GB2312"/>
          <w:sz w:val="32"/>
          <w:szCs w:val="32"/>
        </w:rPr>
        <w:t>2</w:t>
      </w:r>
      <w:r w:rsidRPr="005A730F">
        <w:rPr>
          <w:rFonts w:eastAsia="仿宋_GB2312"/>
          <w:sz w:val="32"/>
          <w:szCs w:val="32"/>
        </w:rPr>
        <w:t>型糖尿病患者。</w:t>
      </w:r>
      <w:r w:rsidRPr="005A730F">
        <w:rPr>
          <w:rFonts w:eastAsia="仿宋_GB2312"/>
          <w:sz w:val="32"/>
          <w:szCs w:val="32"/>
        </w:rPr>
        <w:t>”</w:t>
      </w:r>
    </w:p>
    <w:p w:rsidR="0030481B" w:rsidRPr="005A730F" w:rsidRDefault="0030481B" w:rsidP="0030481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A730F">
        <w:rPr>
          <w:rFonts w:ascii="黑体" w:eastAsia="黑体" w:hAnsi="黑体" w:hint="eastAsia"/>
          <w:sz w:val="32"/>
          <w:szCs w:val="32"/>
        </w:rPr>
        <w:t>三、不良反应</w:t>
      </w:r>
    </w:p>
    <w:p w:rsidR="0030481B" w:rsidRPr="005A730F" w:rsidRDefault="0030481B" w:rsidP="0030481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A730F">
        <w:rPr>
          <w:rFonts w:eastAsia="仿宋_GB2312"/>
          <w:sz w:val="32"/>
          <w:szCs w:val="32"/>
        </w:rPr>
        <w:t>【不良反应】增加或修订为以下内容：</w:t>
      </w:r>
    </w:p>
    <w:p w:rsidR="0030481B" w:rsidRPr="005A730F" w:rsidRDefault="0030481B" w:rsidP="0030481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A730F">
        <w:rPr>
          <w:rFonts w:eastAsia="仿宋_GB2312"/>
          <w:sz w:val="32"/>
          <w:szCs w:val="32"/>
        </w:rPr>
        <w:t>“</w:t>
      </w:r>
      <w:r w:rsidRPr="005A730F">
        <w:rPr>
          <w:rFonts w:eastAsia="仿宋_GB2312"/>
          <w:sz w:val="32"/>
          <w:szCs w:val="32"/>
        </w:rPr>
        <w:t>国内药品上市后监测中发现罗格列酮的主要不良反应</w:t>
      </w:r>
      <w:r w:rsidRPr="005A730F">
        <w:rPr>
          <w:rFonts w:eastAsia="仿宋_GB2312"/>
          <w:sz w:val="32"/>
          <w:szCs w:val="32"/>
        </w:rPr>
        <w:t>/</w:t>
      </w:r>
      <w:r w:rsidRPr="005A730F">
        <w:rPr>
          <w:rFonts w:eastAsia="仿宋_GB2312"/>
          <w:sz w:val="32"/>
          <w:szCs w:val="32"/>
        </w:rPr>
        <w:t>事件包括：</w:t>
      </w:r>
    </w:p>
    <w:p w:rsidR="0030481B" w:rsidRPr="005A730F" w:rsidRDefault="0030481B" w:rsidP="0030481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A730F">
        <w:rPr>
          <w:rFonts w:eastAsia="仿宋_GB2312"/>
          <w:sz w:val="32"/>
          <w:szCs w:val="32"/>
        </w:rPr>
        <w:t>1.</w:t>
      </w:r>
      <w:r w:rsidRPr="005A730F">
        <w:rPr>
          <w:rFonts w:eastAsia="仿宋_GB2312"/>
          <w:sz w:val="32"/>
          <w:szCs w:val="32"/>
        </w:rPr>
        <w:t>全身性损害：以水肿为主要表现，包括全身性水肿、下肢水肿、面部水肿等，其他包括乏力、疼痛、过敏反应、过敏样反应、发热；</w:t>
      </w:r>
    </w:p>
    <w:p w:rsidR="0030481B" w:rsidRPr="005A730F" w:rsidRDefault="0030481B" w:rsidP="0030481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A730F">
        <w:rPr>
          <w:rFonts w:eastAsia="仿宋_GB2312"/>
          <w:sz w:val="32"/>
          <w:szCs w:val="32"/>
        </w:rPr>
        <w:t>2.</w:t>
      </w:r>
      <w:r w:rsidRPr="005A730F">
        <w:rPr>
          <w:rFonts w:eastAsia="仿宋_GB2312"/>
          <w:sz w:val="32"/>
          <w:szCs w:val="32"/>
        </w:rPr>
        <w:t>神经系统损害：头痛、头晕、眩晕、嗜睡、失眠；</w:t>
      </w:r>
    </w:p>
    <w:p w:rsidR="0030481B" w:rsidRPr="005A730F" w:rsidRDefault="0030481B" w:rsidP="0030481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A730F">
        <w:rPr>
          <w:rFonts w:eastAsia="仿宋_GB2312"/>
          <w:sz w:val="32"/>
          <w:szCs w:val="32"/>
        </w:rPr>
        <w:t>3.</w:t>
      </w:r>
      <w:r w:rsidRPr="005A730F">
        <w:rPr>
          <w:rFonts w:eastAsia="仿宋_GB2312"/>
          <w:sz w:val="32"/>
          <w:szCs w:val="32"/>
        </w:rPr>
        <w:t>消化系统损害：腹泻、腹痛、恶心、呕吐、口干、胃肠</w:t>
      </w:r>
      <w:r w:rsidRPr="005A730F">
        <w:rPr>
          <w:rFonts w:eastAsia="仿宋_GB2312"/>
          <w:sz w:val="32"/>
          <w:szCs w:val="32"/>
        </w:rPr>
        <w:lastRenderedPageBreak/>
        <w:t>胀气、食欲不振、</w:t>
      </w:r>
      <w:proofErr w:type="gramStart"/>
      <w:r w:rsidRPr="005A730F">
        <w:rPr>
          <w:rFonts w:eastAsia="仿宋_GB2312"/>
          <w:sz w:val="32"/>
          <w:szCs w:val="32"/>
        </w:rPr>
        <w:t>肝酶升高</w:t>
      </w:r>
      <w:proofErr w:type="gramEnd"/>
      <w:r w:rsidRPr="005A730F">
        <w:rPr>
          <w:rFonts w:eastAsia="仿宋_GB2312"/>
          <w:sz w:val="32"/>
          <w:szCs w:val="32"/>
        </w:rPr>
        <w:t>；</w:t>
      </w:r>
    </w:p>
    <w:p w:rsidR="0030481B" w:rsidRPr="005A730F" w:rsidRDefault="0030481B" w:rsidP="0030481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A730F">
        <w:rPr>
          <w:rFonts w:eastAsia="仿宋_GB2312"/>
          <w:sz w:val="32"/>
          <w:szCs w:val="32"/>
        </w:rPr>
        <w:t>4.</w:t>
      </w:r>
      <w:r w:rsidRPr="005A730F">
        <w:rPr>
          <w:rFonts w:eastAsia="仿宋_GB2312"/>
          <w:sz w:val="32"/>
          <w:szCs w:val="32"/>
        </w:rPr>
        <w:t>代谢和营养障碍：低血糖反应、体重增加；</w:t>
      </w:r>
    </w:p>
    <w:p w:rsidR="0030481B" w:rsidRPr="005A730F" w:rsidRDefault="0030481B" w:rsidP="0030481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A730F">
        <w:rPr>
          <w:rFonts w:eastAsia="仿宋_GB2312"/>
          <w:sz w:val="32"/>
          <w:szCs w:val="32"/>
        </w:rPr>
        <w:t>5.</w:t>
      </w:r>
      <w:r w:rsidRPr="005A730F">
        <w:rPr>
          <w:rFonts w:eastAsia="仿宋_GB2312"/>
          <w:sz w:val="32"/>
          <w:szCs w:val="32"/>
        </w:rPr>
        <w:t>皮肤损害：皮疹、瘙痒；</w:t>
      </w:r>
    </w:p>
    <w:p w:rsidR="0030481B" w:rsidRPr="005A730F" w:rsidRDefault="0030481B" w:rsidP="0030481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A730F">
        <w:rPr>
          <w:rFonts w:eastAsia="仿宋_GB2312"/>
          <w:sz w:val="32"/>
          <w:szCs w:val="32"/>
        </w:rPr>
        <w:t>6</w:t>
      </w:r>
      <w:r w:rsidRPr="005A730F">
        <w:rPr>
          <w:rFonts w:eastAsia="仿宋_GB2312" w:hint="eastAsia"/>
          <w:sz w:val="32"/>
          <w:szCs w:val="32"/>
        </w:rPr>
        <w:t>.</w:t>
      </w:r>
      <w:r w:rsidRPr="005A730F">
        <w:rPr>
          <w:rFonts w:eastAsia="仿宋_GB2312"/>
          <w:sz w:val="32"/>
          <w:szCs w:val="32"/>
        </w:rPr>
        <w:t>心血管损害：心悸、心律失常、心动过速、心力衰竭、心前区不适；</w:t>
      </w:r>
    </w:p>
    <w:p w:rsidR="0030481B" w:rsidRPr="005A730F" w:rsidRDefault="0030481B" w:rsidP="0030481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A730F">
        <w:rPr>
          <w:rFonts w:eastAsia="仿宋_GB2312"/>
          <w:sz w:val="32"/>
          <w:szCs w:val="32"/>
        </w:rPr>
        <w:t>7.</w:t>
      </w:r>
      <w:r w:rsidRPr="005A730F">
        <w:rPr>
          <w:rFonts w:eastAsia="仿宋_GB2312"/>
          <w:sz w:val="32"/>
          <w:szCs w:val="32"/>
        </w:rPr>
        <w:t>血液系统损害：贫血、白细胞减少；</w:t>
      </w:r>
    </w:p>
    <w:p w:rsidR="0030481B" w:rsidRPr="005A730F" w:rsidRDefault="0030481B" w:rsidP="0030481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A730F">
        <w:rPr>
          <w:rFonts w:eastAsia="仿宋_GB2312"/>
          <w:sz w:val="32"/>
          <w:szCs w:val="32"/>
        </w:rPr>
        <w:t>8.</w:t>
      </w:r>
      <w:r w:rsidRPr="005A730F">
        <w:rPr>
          <w:rFonts w:eastAsia="仿宋_GB2312"/>
          <w:sz w:val="32"/>
          <w:szCs w:val="32"/>
        </w:rPr>
        <w:t>呼吸系统损害：胸闷、上呼吸道感染、呼吸困难；</w:t>
      </w:r>
    </w:p>
    <w:p w:rsidR="0030481B" w:rsidRPr="005A730F" w:rsidRDefault="0030481B" w:rsidP="0030481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A730F">
        <w:rPr>
          <w:rFonts w:eastAsia="仿宋_GB2312"/>
          <w:sz w:val="32"/>
          <w:szCs w:val="32"/>
        </w:rPr>
        <w:t>9</w:t>
      </w:r>
      <w:r w:rsidRPr="005A730F">
        <w:rPr>
          <w:rFonts w:eastAsia="仿宋_GB2312" w:hint="eastAsia"/>
          <w:sz w:val="32"/>
          <w:szCs w:val="32"/>
        </w:rPr>
        <w:t>.</w:t>
      </w:r>
      <w:r w:rsidRPr="005A730F">
        <w:rPr>
          <w:rFonts w:eastAsia="仿宋_GB2312"/>
          <w:sz w:val="32"/>
          <w:szCs w:val="32"/>
        </w:rPr>
        <w:t>视觉障碍</w:t>
      </w:r>
      <w:r w:rsidRPr="005A730F">
        <w:rPr>
          <w:rFonts w:eastAsia="仿宋_GB2312" w:hint="eastAsia"/>
          <w:sz w:val="32"/>
          <w:szCs w:val="32"/>
        </w:rPr>
        <w:t>：</w:t>
      </w:r>
      <w:r w:rsidRPr="005A730F">
        <w:rPr>
          <w:rFonts w:eastAsia="仿宋_GB2312"/>
          <w:sz w:val="32"/>
          <w:szCs w:val="32"/>
        </w:rPr>
        <w:t>视觉异常、黄斑水肿。</w:t>
      </w:r>
      <w:r w:rsidRPr="005A730F">
        <w:rPr>
          <w:rFonts w:eastAsia="仿宋_GB2312"/>
          <w:sz w:val="32"/>
          <w:szCs w:val="32"/>
        </w:rPr>
        <w:t>”</w:t>
      </w:r>
    </w:p>
    <w:p w:rsidR="0030481B" w:rsidRPr="005A730F" w:rsidRDefault="0030481B" w:rsidP="0030481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A730F">
        <w:rPr>
          <w:rFonts w:ascii="黑体" w:eastAsia="黑体" w:hAnsi="黑体" w:hint="eastAsia"/>
          <w:sz w:val="32"/>
          <w:szCs w:val="32"/>
        </w:rPr>
        <w:t>四、禁忌</w:t>
      </w:r>
    </w:p>
    <w:p w:rsidR="0030481B" w:rsidRPr="005A730F" w:rsidRDefault="0030481B" w:rsidP="0030481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A730F">
        <w:rPr>
          <w:rFonts w:eastAsia="仿宋_GB2312"/>
          <w:sz w:val="32"/>
          <w:szCs w:val="32"/>
        </w:rPr>
        <w:t>【禁忌】部分删除</w:t>
      </w:r>
      <w:r w:rsidRPr="005A730F">
        <w:rPr>
          <w:rFonts w:eastAsia="仿宋_GB2312"/>
          <w:sz w:val="32"/>
          <w:szCs w:val="32"/>
        </w:rPr>
        <w:t>“</w:t>
      </w:r>
      <w:r w:rsidRPr="005A730F">
        <w:rPr>
          <w:rFonts w:eastAsia="仿宋_GB2312"/>
          <w:sz w:val="32"/>
          <w:szCs w:val="32"/>
        </w:rPr>
        <w:t>有心脏病史，尤其是缺血性心脏病病史的患者</w:t>
      </w:r>
      <w:r w:rsidRPr="005A730F">
        <w:rPr>
          <w:rFonts w:eastAsia="仿宋_GB2312"/>
          <w:sz w:val="32"/>
          <w:szCs w:val="32"/>
        </w:rPr>
        <w:t>”</w:t>
      </w:r>
      <w:r w:rsidRPr="005A730F">
        <w:rPr>
          <w:rFonts w:eastAsia="仿宋_GB2312"/>
          <w:sz w:val="32"/>
          <w:szCs w:val="32"/>
        </w:rPr>
        <w:t>。</w:t>
      </w:r>
    </w:p>
    <w:p w:rsidR="0030481B" w:rsidRPr="005A730F" w:rsidRDefault="0030481B" w:rsidP="0030481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A730F">
        <w:rPr>
          <w:rFonts w:ascii="黑体" w:eastAsia="黑体" w:hAnsi="黑体" w:hint="eastAsia"/>
          <w:sz w:val="32"/>
          <w:szCs w:val="32"/>
        </w:rPr>
        <w:t>五、注意事项</w:t>
      </w:r>
    </w:p>
    <w:p w:rsidR="0030481B" w:rsidRPr="005A730F" w:rsidRDefault="0030481B" w:rsidP="0030481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A730F">
        <w:rPr>
          <w:rFonts w:eastAsia="仿宋_GB2312"/>
          <w:sz w:val="32"/>
          <w:szCs w:val="32"/>
        </w:rPr>
        <w:t>【注意事项】修订为：</w:t>
      </w:r>
    </w:p>
    <w:p w:rsidR="0030481B" w:rsidRPr="005A730F" w:rsidRDefault="0030481B" w:rsidP="0030481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A730F">
        <w:rPr>
          <w:rFonts w:eastAsia="仿宋_GB2312"/>
          <w:sz w:val="32"/>
          <w:szCs w:val="32"/>
        </w:rPr>
        <w:t>“</w:t>
      </w:r>
      <w:r w:rsidRPr="005A730F">
        <w:rPr>
          <w:rFonts w:eastAsia="仿宋_GB2312"/>
          <w:sz w:val="32"/>
          <w:szCs w:val="32"/>
        </w:rPr>
        <w:t>根据国外对马来酸罗格列酮的研究资料报道，使用本品应注意以下事项：</w:t>
      </w:r>
    </w:p>
    <w:p w:rsidR="0030481B" w:rsidRPr="005A730F" w:rsidRDefault="0030481B" w:rsidP="0030481B">
      <w:pPr>
        <w:spacing w:line="560" w:lineRule="exact"/>
        <w:ind w:firstLineChars="200" w:firstLine="640"/>
        <w:rPr>
          <w:rFonts w:eastAsia="楷体_GB2312"/>
          <w:bCs/>
          <w:sz w:val="32"/>
          <w:szCs w:val="32"/>
        </w:rPr>
      </w:pPr>
      <w:r w:rsidRPr="005A730F">
        <w:rPr>
          <w:rFonts w:eastAsia="楷体_GB2312"/>
          <w:bCs/>
          <w:sz w:val="32"/>
          <w:szCs w:val="32"/>
        </w:rPr>
        <w:t>1.</w:t>
      </w:r>
      <w:r w:rsidRPr="005A730F">
        <w:rPr>
          <w:rFonts w:eastAsia="楷体_GB2312"/>
          <w:bCs/>
          <w:sz w:val="32"/>
          <w:szCs w:val="32"/>
        </w:rPr>
        <w:t>心力衰竭</w:t>
      </w:r>
    </w:p>
    <w:p w:rsidR="0030481B" w:rsidRPr="005A730F" w:rsidRDefault="0030481B" w:rsidP="0030481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A730F">
        <w:rPr>
          <w:rFonts w:eastAsia="仿宋_GB2312"/>
          <w:sz w:val="32"/>
          <w:szCs w:val="32"/>
        </w:rPr>
        <w:t>有心衰病史或心衰危险因素的患者禁用本品。</w:t>
      </w:r>
    </w:p>
    <w:p w:rsidR="0030481B" w:rsidRPr="005A730F" w:rsidRDefault="0030481B" w:rsidP="0030481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A730F">
        <w:rPr>
          <w:rFonts w:eastAsia="仿宋_GB2312"/>
          <w:sz w:val="32"/>
          <w:szCs w:val="32"/>
        </w:rPr>
        <w:t>罗格列酮与其他</w:t>
      </w:r>
      <w:proofErr w:type="gramStart"/>
      <w:r w:rsidRPr="005A730F">
        <w:rPr>
          <w:rFonts w:eastAsia="仿宋_GB2312"/>
          <w:sz w:val="32"/>
          <w:szCs w:val="32"/>
        </w:rPr>
        <w:t>噻唑烷二酮</w:t>
      </w:r>
      <w:proofErr w:type="gramEnd"/>
      <w:r w:rsidRPr="005A730F">
        <w:rPr>
          <w:rFonts w:eastAsia="仿宋_GB2312"/>
          <w:sz w:val="32"/>
          <w:szCs w:val="32"/>
        </w:rPr>
        <w:t>类药物类似，单用或与其他抗糖尿病药物合用可引起液体潴留，有加重或导致充血性心衰的危险。开始使用罗格列酮和用药剂量增加时，应监测患者心衰的症状和体征。如果上述症状或体征进一步发展，应根据现有治疗标准对心衰进行控制。此外，应考虑停用罗格列酮或减少剂量。</w:t>
      </w:r>
    </w:p>
    <w:p w:rsidR="0030481B" w:rsidRPr="005A730F" w:rsidRDefault="0030481B" w:rsidP="0030481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A730F">
        <w:rPr>
          <w:rFonts w:eastAsia="仿宋_GB2312"/>
          <w:sz w:val="32"/>
          <w:szCs w:val="32"/>
        </w:rPr>
        <w:t>充血性心力衰竭（</w:t>
      </w:r>
      <w:r w:rsidRPr="005A730F">
        <w:rPr>
          <w:rFonts w:eastAsia="仿宋_GB2312"/>
          <w:sz w:val="32"/>
          <w:szCs w:val="32"/>
        </w:rPr>
        <w:t>NYHA</w:t>
      </w:r>
      <w:r w:rsidRPr="005A730F">
        <w:rPr>
          <w:rFonts w:eastAsia="仿宋_GB2312"/>
          <w:sz w:val="32"/>
          <w:szCs w:val="32"/>
        </w:rPr>
        <w:t>分级为</w:t>
      </w:r>
      <w:r w:rsidRPr="005A730F">
        <w:rPr>
          <w:rFonts w:eastAsia="仿宋_GB2312"/>
          <w:sz w:val="32"/>
          <w:szCs w:val="32"/>
        </w:rPr>
        <w:t>I</w:t>
      </w:r>
      <w:r w:rsidRPr="005A730F">
        <w:rPr>
          <w:rFonts w:eastAsia="仿宋_GB2312"/>
          <w:sz w:val="32"/>
          <w:szCs w:val="32"/>
        </w:rPr>
        <w:t>级和</w:t>
      </w:r>
      <w:r w:rsidRPr="005A730F">
        <w:rPr>
          <w:rFonts w:ascii="宋体" w:hAnsi="宋体" w:cs="宋体" w:hint="eastAsia"/>
          <w:sz w:val="32"/>
          <w:szCs w:val="32"/>
        </w:rPr>
        <w:t>Ⅱ</w:t>
      </w:r>
      <w:r w:rsidRPr="005A730F">
        <w:rPr>
          <w:rFonts w:eastAsia="仿宋_GB2312"/>
          <w:sz w:val="32"/>
          <w:szCs w:val="32"/>
        </w:rPr>
        <w:t>级）的患者接</w:t>
      </w:r>
      <w:r w:rsidRPr="005A730F">
        <w:rPr>
          <w:rFonts w:eastAsia="仿宋_GB2312"/>
          <w:sz w:val="32"/>
          <w:szCs w:val="32"/>
        </w:rPr>
        <w:lastRenderedPageBreak/>
        <w:t>受罗格列酮治疗发生心血管事件的危险增加。</w:t>
      </w:r>
      <w:r w:rsidRPr="005A730F">
        <w:rPr>
          <w:rFonts w:eastAsia="仿宋_GB2312"/>
          <w:sz w:val="32"/>
          <w:szCs w:val="32"/>
        </w:rPr>
        <w:t>224</w:t>
      </w:r>
      <w:r w:rsidRPr="005A730F">
        <w:rPr>
          <w:rFonts w:eastAsia="仿宋_GB2312"/>
          <w:sz w:val="32"/>
          <w:szCs w:val="32"/>
        </w:rPr>
        <w:t>位</w:t>
      </w:r>
      <w:r w:rsidRPr="005A730F">
        <w:rPr>
          <w:rFonts w:eastAsia="仿宋_GB2312"/>
          <w:sz w:val="32"/>
          <w:szCs w:val="32"/>
        </w:rPr>
        <w:t>2</w:t>
      </w:r>
      <w:r w:rsidRPr="005A730F">
        <w:rPr>
          <w:rFonts w:eastAsia="仿宋_GB2312"/>
          <w:sz w:val="32"/>
          <w:szCs w:val="32"/>
        </w:rPr>
        <w:t>型糖尿病且</w:t>
      </w:r>
      <w:r w:rsidRPr="005A730F">
        <w:rPr>
          <w:rFonts w:eastAsia="仿宋_GB2312"/>
          <w:sz w:val="32"/>
          <w:szCs w:val="32"/>
        </w:rPr>
        <w:t>NYHA</w:t>
      </w:r>
      <w:r w:rsidRPr="005A730F">
        <w:rPr>
          <w:rFonts w:eastAsia="仿宋_GB2312"/>
          <w:sz w:val="32"/>
          <w:szCs w:val="32"/>
        </w:rPr>
        <w:t>分级</w:t>
      </w:r>
      <w:r w:rsidRPr="005A730F">
        <w:rPr>
          <w:rFonts w:eastAsia="仿宋_GB2312"/>
          <w:sz w:val="32"/>
          <w:szCs w:val="32"/>
        </w:rPr>
        <w:t>I</w:t>
      </w:r>
      <w:r w:rsidRPr="005A730F">
        <w:rPr>
          <w:rFonts w:eastAsia="仿宋_GB2312"/>
          <w:sz w:val="32"/>
          <w:szCs w:val="32"/>
        </w:rPr>
        <w:t>和</w:t>
      </w:r>
      <w:r w:rsidRPr="005A730F">
        <w:rPr>
          <w:rFonts w:ascii="宋体" w:hAnsi="宋体" w:cs="宋体" w:hint="eastAsia"/>
          <w:sz w:val="32"/>
          <w:szCs w:val="32"/>
        </w:rPr>
        <w:t>Ⅱ</w:t>
      </w:r>
      <w:r w:rsidRPr="005A730F">
        <w:rPr>
          <w:rFonts w:eastAsia="仿宋_GB2312"/>
          <w:sz w:val="32"/>
          <w:szCs w:val="32"/>
        </w:rPr>
        <w:t>级</w:t>
      </w:r>
      <w:r w:rsidRPr="005A730F">
        <w:rPr>
          <w:rFonts w:eastAsia="仿宋_GB2312"/>
          <w:sz w:val="32"/>
          <w:szCs w:val="32"/>
        </w:rPr>
        <w:t>(</w:t>
      </w:r>
      <w:r w:rsidRPr="005A730F">
        <w:rPr>
          <w:rFonts w:eastAsia="仿宋_GB2312"/>
          <w:sz w:val="32"/>
          <w:szCs w:val="32"/>
        </w:rPr>
        <w:t>射血分数</w:t>
      </w:r>
      <w:r w:rsidRPr="005A730F">
        <w:rPr>
          <w:rFonts w:eastAsia="仿宋_GB2312"/>
          <w:sz w:val="32"/>
          <w:szCs w:val="32"/>
        </w:rPr>
        <w:t>≤45</w:t>
      </w:r>
      <w:r w:rsidRPr="005A730F">
        <w:rPr>
          <w:rFonts w:eastAsia="仿宋_GB2312"/>
          <w:sz w:val="32"/>
          <w:szCs w:val="32"/>
        </w:rPr>
        <w:t>％</w:t>
      </w:r>
      <w:r w:rsidRPr="005A730F">
        <w:rPr>
          <w:rFonts w:eastAsia="仿宋_GB2312"/>
          <w:sz w:val="32"/>
          <w:szCs w:val="32"/>
        </w:rPr>
        <w:t>)</w:t>
      </w:r>
      <w:r w:rsidRPr="005A730F">
        <w:rPr>
          <w:rFonts w:eastAsia="仿宋_GB2312"/>
          <w:sz w:val="32"/>
          <w:szCs w:val="32"/>
        </w:rPr>
        <w:t>的患者参加了为期</w:t>
      </w:r>
      <w:r w:rsidRPr="005A730F">
        <w:rPr>
          <w:rFonts w:eastAsia="仿宋_GB2312"/>
          <w:sz w:val="32"/>
          <w:szCs w:val="32"/>
        </w:rPr>
        <w:t>52</w:t>
      </w:r>
      <w:r w:rsidRPr="005A730F">
        <w:rPr>
          <w:rFonts w:eastAsia="仿宋_GB2312"/>
          <w:sz w:val="32"/>
          <w:szCs w:val="32"/>
        </w:rPr>
        <w:t>周、双盲、安慰剂对照的超声心动图试验，且患者仍</w:t>
      </w:r>
      <w:proofErr w:type="gramStart"/>
      <w:r w:rsidRPr="005A730F">
        <w:rPr>
          <w:rFonts w:eastAsia="仿宋_GB2312"/>
          <w:sz w:val="32"/>
          <w:szCs w:val="32"/>
        </w:rPr>
        <w:t>接受原抗糖尿病</w:t>
      </w:r>
      <w:proofErr w:type="gramEnd"/>
      <w:r w:rsidRPr="005A730F">
        <w:rPr>
          <w:rFonts w:eastAsia="仿宋_GB2312"/>
          <w:sz w:val="32"/>
          <w:szCs w:val="32"/>
        </w:rPr>
        <w:t>和充血性心衰的治疗。一个独立委员会按照先前定义的标准对液体相关事件（包括充血性心力衰竭）和因心血管原因住院事件进行</w:t>
      </w:r>
      <w:proofErr w:type="gramStart"/>
      <w:r w:rsidRPr="005A730F">
        <w:rPr>
          <w:rFonts w:eastAsia="仿宋_GB2312"/>
          <w:sz w:val="32"/>
          <w:szCs w:val="32"/>
        </w:rPr>
        <w:t>了盲态评估</w:t>
      </w:r>
      <w:proofErr w:type="gramEnd"/>
      <w:r w:rsidRPr="005A730F">
        <w:rPr>
          <w:rFonts w:eastAsia="仿宋_GB2312"/>
          <w:sz w:val="32"/>
          <w:szCs w:val="32"/>
        </w:rPr>
        <w:t>。除定义的不良事件外，研究者也报告了其他心血管不良事件。尽管观察到射血分数较基线无治疗差异，在治疗</w:t>
      </w:r>
      <w:r w:rsidRPr="005A730F">
        <w:rPr>
          <w:rFonts w:eastAsia="仿宋_GB2312"/>
          <w:sz w:val="32"/>
          <w:szCs w:val="32"/>
        </w:rPr>
        <w:t>52</w:t>
      </w:r>
      <w:r w:rsidRPr="005A730F">
        <w:rPr>
          <w:rFonts w:eastAsia="仿宋_GB2312"/>
          <w:sz w:val="32"/>
          <w:szCs w:val="32"/>
        </w:rPr>
        <w:t>周与安慰剂比较，观察到罗格列酮治疗组有更多的心血管事件（参见表</w:t>
      </w:r>
      <w:r w:rsidRPr="005A730F">
        <w:rPr>
          <w:rFonts w:eastAsia="仿宋_GB2312"/>
          <w:sz w:val="32"/>
          <w:szCs w:val="32"/>
        </w:rPr>
        <w:t>1</w:t>
      </w:r>
      <w:r w:rsidRPr="005A730F">
        <w:rPr>
          <w:rFonts w:eastAsia="仿宋_GB2312"/>
          <w:sz w:val="32"/>
          <w:szCs w:val="32"/>
        </w:rPr>
        <w:t>）。</w:t>
      </w:r>
    </w:p>
    <w:p w:rsidR="0030481B" w:rsidRPr="005A730F" w:rsidRDefault="0030481B" w:rsidP="0030481B">
      <w:pPr>
        <w:spacing w:line="380" w:lineRule="exact"/>
        <w:ind w:firstLineChars="200" w:firstLine="640"/>
        <w:rPr>
          <w:rFonts w:eastAsia="仿宋_GB2312"/>
          <w:sz w:val="32"/>
          <w:szCs w:val="32"/>
        </w:rPr>
      </w:pPr>
    </w:p>
    <w:p w:rsidR="0030481B" w:rsidRPr="005A730F" w:rsidRDefault="0030481B" w:rsidP="0030481B">
      <w:pPr>
        <w:tabs>
          <w:tab w:val="left" w:pos="1418"/>
        </w:tabs>
        <w:adjustRightInd w:val="0"/>
        <w:snapToGrid w:val="0"/>
        <w:spacing w:line="360" w:lineRule="auto"/>
        <w:jc w:val="left"/>
        <w:rPr>
          <w:szCs w:val="21"/>
        </w:rPr>
      </w:pPr>
      <w:r w:rsidRPr="005A730F">
        <w:rPr>
          <w:rFonts w:hint="eastAsia"/>
          <w:szCs w:val="21"/>
        </w:rPr>
        <w:t>表</w:t>
      </w:r>
      <w:r w:rsidRPr="005A730F">
        <w:rPr>
          <w:rFonts w:hint="eastAsia"/>
          <w:szCs w:val="21"/>
        </w:rPr>
        <w:t>1</w:t>
      </w:r>
      <w:r w:rsidRPr="005A730F">
        <w:rPr>
          <w:rFonts w:hint="eastAsia"/>
          <w:szCs w:val="21"/>
        </w:rPr>
        <w:t>：</w:t>
      </w:r>
      <w:r w:rsidRPr="005A730F">
        <w:rPr>
          <w:rFonts w:hint="eastAsia"/>
          <w:szCs w:val="21"/>
        </w:rPr>
        <w:t>NYHA</w:t>
      </w:r>
      <w:r w:rsidRPr="005A730F">
        <w:rPr>
          <w:rFonts w:hint="eastAsia"/>
          <w:szCs w:val="21"/>
        </w:rPr>
        <w:t>分级</w:t>
      </w:r>
      <w:r w:rsidRPr="005A730F">
        <w:rPr>
          <w:rFonts w:hint="eastAsia"/>
          <w:szCs w:val="21"/>
        </w:rPr>
        <w:t>I</w:t>
      </w:r>
      <w:r w:rsidRPr="005A730F">
        <w:rPr>
          <w:rFonts w:hint="eastAsia"/>
          <w:szCs w:val="21"/>
        </w:rPr>
        <w:t>和</w:t>
      </w:r>
      <w:r w:rsidRPr="005A730F">
        <w:rPr>
          <w:rFonts w:hint="eastAsia"/>
          <w:szCs w:val="21"/>
        </w:rPr>
        <w:t>II</w:t>
      </w:r>
      <w:r w:rsidRPr="005A730F">
        <w:rPr>
          <w:rFonts w:hint="eastAsia"/>
          <w:szCs w:val="21"/>
        </w:rPr>
        <w:t>级充血性心力衰竭患者接受罗格列酮或安慰剂（</w:t>
      </w:r>
      <w:proofErr w:type="gramStart"/>
      <w:r w:rsidRPr="005A730F">
        <w:rPr>
          <w:rFonts w:hint="eastAsia"/>
          <w:szCs w:val="21"/>
        </w:rPr>
        <w:t>附加原抗糖尿病</w:t>
      </w:r>
      <w:proofErr w:type="gramEnd"/>
      <w:r w:rsidRPr="005A730F">
        <w:rPr>
          <w:rFonts w:hint="eastAsia"/>
          <w:szCs w:val="21"/>
        </w:rPr>
        <w:t>和充血性心力衰竭治疗）的突发心血管不良事件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835"/>
        <w:gridCol w:w="2460"/>
      </w:tblGrid>
      <w:tr w:rsidR="0030481B" w:rsidRPr="005A730F" w:rsidTr="007F0DA7">
        <w:trPr>
          <w:trHeight w:val="781"/>
          <w:jc w:val="center"/>
        </w:trPr>
        <w:tc>
          <w:tcPr>
            <w:tcW w:w="3227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事件</w:t>
            </w:r>
          </w:p>
        </w:tc>
        <w:tc>
          <w:tcPr>
            <w:tcW w:w="2835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罗格列酮</w:t>
            </w:r>
          </w:p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N=110</w:t>
            </w:r>
          </w:p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 xml:space="preserve"> </w:t>
            </w:r>
            <w:proofErr w:type="gramStart"/>
            <w:r w:rsidRPr="005A730F">
              <w:rPr>
                <w:rFonts w:hint="eastAsia"/>
                <w:szCs w:val="21"/>
              </w:rPr>
              <w:t>n(</w:t>
            </w:r>
            <w:proofErr w:type="gramEnd"/>
            <w:r w:rsidRPr="005A730F">
              <w:rPr>
                <w:rFonts w:hint="eastAsia"/>
                <w:szCs w:val="21"/>
              </w:rPr>
              <w:t>%)</w:t>
            </w:r>
          </w:p>
        </w:tc>
        <w:tc>
          <w:tcPr>
            <w:tcW w:w="2460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安慰剂</w:t>
            </w:r>
          </w:p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N=114</w:t>
            </w:r>
          </w:p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 xml:space="preserve"> </w:t>
            </w:r>
            <w:proofErr w:type="gramStart"/>
            <w:r w:rsidRPr="005A730F">
              <w:rPr>
                <w:rFonts w:hint="eastAsia"/>
                <w:szCs w:val="21"/>
              </w:rPr>
              <w:t>n(</w:t>
            </w:r>
            <w:proofErr w:type="gramEnd"/>
            <w:r w:rsidRPr="005A730F">
              <w:rPr>
                <w:rFonts w:hint="eastAsia"/>
                <w:szCs w:val="21"/>
              </w:rPr>
              <w:t>%)</w:t>
            </w:r>
          </w:p>
        </w:tc>
      </w:tr>
      <w:tr w:rsidR="0030481B" w:rsidRPr="005A730F" w:rsidTr="0030481B">
        <w:trPr>
          <w:jc w:val="center"/>
        </w:trPr>
        <w:tc>
          <w:tcPr>
            <w:tcW w:w="3227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rPr>
                <w:b/>
                <w:szCs w:val="21"/>
              </w:rPr>
            </w:pPr>
            <w:r w:rsidRPr="005A730F">
              <w:rPr>
                <w:rFonts w:hint="eastAsia"/>
                <w:b/>
                <w:szCs w:val="21"/>
              </w:rPr>
              <w:t>已定义事件</w:t>
            </w:r>
          </w:p>
        </w:tc>
        <w:tc>
          <w:tcPr>
            <w:tcW w:w="2835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 w:rsidR="0030481B" w:rsidRPr="005A730F" w:rsidTr="0030481B">
        <w:trPr>
          <w:jc w:val="center"/>
        </w:trPr>
        <w:tc>
          <w:tcPr>
            <w:tcW w:w="3227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心血管原因死亡</w:t>
            </w:r>
          </w:p>
        </w:tc>
        <w:tc>
          <w:tcPr>
            <w:tcW w:w="2835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rPr>
                <w:szCs w:val="21"/>
              </w:rPr>
            </w:pPr>
            <w:r w:rsidRPr="005A730F">
              <w:rPr>
                <w:szCs w:val="21"/>
              </w:rPr>
              <w:t>5(5</w:t>
            </w:r>
            <w:r w:rsidRPr="005A730F">
              <w:rPr>
                <w:rFonts w:hint="eastAsia"/>
                <w:szCs w:val="21"/>
              </w:rPr>
              <w:t>%</w:t>
            </w:r>
            <w:r w:rsidRPr="005A730F">
              <w:rPr>
                <w:szCs w:val="21"/>
              </w:rPr>
              <w:t>)</w:t>
            </w:r>
          </w:p>
        </w:tc>
        <w:tc>
          <w:tcPr>
            <w:tcW w:w="2460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rPr>
                <w:szCs w:val="21"/>
              </w:rPr>
            </w:pPr>
            <w:r w:rsidRPr="005A730F">
              <w:rPr>
                <w:szCs w:val="21"/>
              </w:rPr>
              <w:t>4(4</w:t>
            </w:r>
            <w:r w:rsidRPr="005A730F">
              <w:rPr>
                <w:rFonts w:hint="eastAsia"/>
                <w:szCs w:val="21"/>
              </w:rPr>
              <w:t>%</w:t>
            </w:r>
            <w:r w:rsidRPr="005A730F">
              <w:rPr>
                <w:szCs w:val="21"/>
              </w:rPr>
              <w:t>)</w:t>
            </w:r>
          </w:p>
        </w:tc>
      </w:tr>
      <w:tr w:rsidR="0030481B" w:rsidRPr="005A730F" w:rsidTr="0030481B">
        <w:trPr>
          <w:jc w:val="center"/>
        </w:trPr>
        <w:tc>
          <w:tcPr>
            <w:tcW w:w="3227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充血性心力衰竭恶化</w:t>
            </w:r>
          </w:p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ind w:firstLineChars="200" w:firstLine="420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—住院过夜</w:t>
            </w:r>
          </w:p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ind w:firstLineChars="200" w:firstLine="420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—住院未过夜</w:t>
            </w:r>
          </w:p>
        </w:tc>
        <w:tc>
          <w:tcPr>
            <w:tcW w:w="2835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rPr>
                <w:szCs w:val="21"/>
              </w:rPr>
            </w:pPr>
            <w:r w:rsidRPr="005A730F">
              <w:rPr>
                <w:szCs w:val="21"/>
              </w:rPr>
              <w:t>7(6</w:t>
            </w:r>
            <w:r w:rsidRPr="005A730F">
              <w:rPr>
                <w:rFonts w:hint="eastAsia"/>
                <w:szCs w:val="21"/>
              </w:rPr>
              <w:t>%</w:t>
            </w:r>
            <w:r w:rsidRPr="005A730F">
              <w:rPr>
                <w:szCs w:val="21"/>
              </w:rPr>
              <w:t>)</w:t>
            </w:r>
          </w:p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rPr>
                <w:szCs w:val="21"/>
              </w:rPr>
            </w:pPr>
            <w:r w:rsidRPr="005A730F">
              <w:rPr>
                <w:szCs w:val="21"/>
              </w:rPr>
              <w:t>5(5</w:t>
            </w:r>
            <w:r w:rsidRPr="005A730F">
              <w:rPr>
                <w:rFonts w:hint="eastAsia"/>
                <w:szCs w:val="21"/>
              </w:rPr>
              <w:t>%</w:t>
            </w:r>
            <w:r w:rsidRPr="005A730F">
              <w:rPr>
                <w:szCs w:val="21"/>
              </w:rPr>
              <w:t>)</w:t>
            </w:r>
          </w:p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rPr>
                <w:szCs w:val="21"/>
              </w:rPr>
            </w:pPr>
            <w:r w:rsidRPr="005A730F">
              <w:rPr>
                <w:szCs w:val="21"/>
              </w:rPr>
              <w:t>2(2</w:t>
            </w:r>
            <w:r w:rsidRPr="005A730F">
              <w:rPr>
                <w:rFonts w:hint="eastAsia"/>
                <w:szCs w:val="21"/>
              </w:rPr>
              <w:t>%</w:t>
            </w:r>
            <w:r w:rsidRPr="005A730F">
              <w:rPr>
                <w:szCs w:val="21"/>
              </w:rPr>
              <w:t>)</w:t>
            </w:r>
          </w:p>
        </w:tc>
        <w:tc>
          <w:tcPr>
            <w:tcW w:w="2460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rPr>
                <w:szCs w:val="21"/>
              </w:rPr>
            </w:pPr>
            <w:r w:rsidRPr="005A730F">
              <w:rPr>
                <w:szCs w:val="21"/>
              </w:rPr>
              <w:t>4(4</w:t>
            </w:r>
            <w:r w:rsidRPr="005A730F">
              <w:rPr>
                <w:rFonts w:hint="eastAsia"/>
                <w:szCs w:val="21"/>
              </w:rPr>
              <w:t>%</w:t>
            </w:r>
            <w:r w:rsidRPr="005A730F">
              <w:rPr>
                <w:szCs w:val="21"/>
              </w:rPr>
              <w:t>)</w:t>
            </w:r>
          </w:p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rPr>
                <w:szCs w:val="21"/>
              </w:rPr>
            </w:pPr>
            <w:r w:rsidRPr="005A730F">
              <w:rPr>
                <w:szCs w:val="21"/>
              </w:rPr>
              <w:t>4(4</w:t>
            </w:r>
            <w:r w:rsidRPr="005A730F">
              <w:rPr>
                <w:rFonts w:hint="eastAsia"/>
                <w:szCs w:val="21"/>
              </w:rPr>
              <w:t>%</w:t>
            </w:r>
            <w:r w:rsidRPr="005A730F">
              <w:rPr>
                <w:szCs w:val="21"/>
              </w:rPr>
              <w:t>)</w:t>
            </w:r>
          </w:p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0(0%)</w:t>
            </w:r>
          </w:p>
        </w:tc>
      </w:tr>
      <w:tr w:rsidR="0030481B" w:rsidRPr="005A730F" w:rsidTr="0030481B">
        <w:trPr>
          <w:jc w:val="center"/>
        </w:trPr>
        <w:tc>
          <w:tcPr>
            <w:tcW w:w="3227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水肿新发或恶化</w:t>
            </w:r>
          </w:p>
        </w:tc>
        <w:tc>
          <w:tcPr>
            <w:tcW w:w="2835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rPr>
                <w:szCs w:val="21"/>
              </w:rPr>
            </w:pPr>
            <w:r w:rsidRPr="005A730F">
              <w:rPr>
                <w:szCs w:val="21"/>
              </w:rPr>
              <w:t>28(25</w:t>
            </w:r>
            <w:r w:rsidRPr="005A730F">
              <w:rPr>
                <w:rFonts w:hint="eastAsia"/>
                <w:szCs w:val="21"/>
              </w:rPr>
              <w:t>%</w:t>
            </w:r>
            <w:r w:rsidRPr="005A730F">
              <w:rPr>
                <w:szCs w:val="21"/>
              </w:rPr>
              <w:t>)</w:t>
            </w:r>
          </w:p>
        </w:tc>
        <w:tc>
          <w:tcPr>
            <w:tcW w:w="2460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rPr>
                <w:szCs w:val="21"/>
              </w:rPr>
            </w:pPr>
            <w:r w:rsidRPr="005A730F">
              <w:rPr>
                <w:szCs w:val="21"/>
              </w:rPr>
              <w:t>10(9</w:t>
            </w:r>
            <w:r w:rsidRPr="005A730F">
              <w:rPr>
                <w:rFonts w:hint="eastAsia"/>
                <w:szCs w:val="21"/>
              </w:rPr>
              <w:t>%</w:t>
            </w:r>
            <w:r w:rsidRPr="005A730F">
              <w:rPr>
                <w:szCs w:val="21"/>
              </w:rPr>
              <w:t>)</w:t>
            </w:r>
          </w:p>
        </w:tc>
      </w:tr>
      <w:tr w:rsidR="0030481B" w:rsidRPr="005A730F" w:rsidTr="0030481B">
        <w:trPr>
          <w:jc w:val="center"/>
        </w:trPr>
        <w:tc>
          <w:tcPr>
            <w:tcW w:w="3227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呼吸困难新发或恶化</w:t>
            </w:r>
          </w:p>
        </w:tc>
        <w:tc>
          <w:tcPr>
            <w:tcW w:w="2835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rPr>
                <w:szCs w:val="21"/>
              </w:rPr>
            </w:pPr>
            <w:r w:rsidRPr="005A730F">
              <w:rPr>
                <w:szCs w:val="21"/>
              </w:rPr>
              <w:t>29(26</w:t>
            </w:r>
            <w:r w:rsidRPr="005A730F">
              <w:rPr>
                <w:rFonts w:hint="eastAsia"/>
                <w:szCs w:val="21"/>
              </w:rPr>
              <w:t>%</w:t>
            </w:r>
            <w:r w:rsidRPr="005A730F">
              <w:rPr>
                <w:szCs w:val="21"/>
              </w:rPr>
              <w:t>)</w:t>
            </w:r>
          </w:p>
        </w:tc>
        <w:tc>
          <w:tcPr>
            <w:tcW w:w="2460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rPr>
                <w:szCs w:val="21"/>
              </w:rPr>
            </w:pPr>
            <w:r w:rsidRPr="005A730F">
              <w:rPr>
                <w:szCs w:val="21"/>
              </w:rPr>
              <w:t>19(17</w:t>
            </w:r>
            <w:r w:rsidRPr="005A730F">
              <w:rPr>
                <w:rFonts w:hint="eastAsia"/>
                <w:szCs w:val="21"/>
              </w:rPr>
              <w:t>%</w:t>
            </w:r>
            <w:r w:rsidRPr="005A730F">
              <w:rPr>
                <w:szCs w:val="21"/>
              </w:rPr>
              <w:t>)</w:t>
            </w:r>
          </w:p>
        </w:tc>
      </w:tr>
      <w:tr w:rsidR="0030481B" w:rsidRPr="005A730F" w:rsidTr="0030481B">
        <w:trPr>
          <w:jc w:val="center"/>
        </w:trPr>
        <w:tc>
          <w:tcPr>
            <w:tcW w:w="3227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充血性心力衰竭的药物增加</w:t>
            </w:r>
          </w:p>
        </w:tc>
        <w:tc>
          <w:tcPr>
            <w:tcW w:w="2835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rPr>
                <w:szCs w:val="21"/>
              </w:rPr>
            </w:pPr>
            <w:r w:rsidRPr="005A730F">
              <w:rPr>
                <w:szCs w:val="21"/>
              </w:rPr>
              <w:t>36(33</w:t>
            </w:r>
            <w:r w:rsidRPr="005A730F">
              <w:rPr>
                <w:rFonts w:hint="eastAsia"/>
                <w:szCs w:val="21"/>
              </w:rPr>
              <w:t>%</w:t>
            </w:r>
            <w:r w:rsidRPr="005A730F">
              <w:rPr>
                <w:szCs w:val="21"/>
              </w:rPr>
              <w:t>)</w:t>
            </w:r>
          </w:p>
        </w:tc>
        <w:tc>
          <w:tcPr>
            <w:tcW w:w="2460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rPr>
                <w:szCs w:val="21"/>
              </w:rPr>
            </w:pPr>
            <w:r w:rsidRPr="005A730F">
              <w:rPr>
                <w:szCs w:val="21"/>
              </w:rPr>
              <w:t>20(18</w:t>
            </w:r>
            <w:r w:rsidRPr="005A730F">
              <w:rPr>
                <w:rFonts w:hint="eastAsia"/>
                <w:szCs w:val="21"/>
              </w:rPr>
              <w:t>%</w:t>
            </w:r>
            <w:r w:rsidRPr="005A730F">
              <w:rPr>
                <w:szCs w:val="21"/>
              </w:rPr>
              <w:t>)</w:t>
            </w:r>
          </w:p>
        </w:tc>
      </w:tr>
      <w:tr w:rsidR="0030481B" w:rsidRPr="005A730F" w:rsidTr="0030481B">
        <w:trPr>
          <w:jc w:val="center"/>
        </w:trPr>
        <w:tc>
          <w:tcPr>
            <w:tcW w:w="3227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心血管原因住院</w:t>
            </w:r>
            <w:r w:rsidRPr="005A730F">
              <w:rPr>
                <w:rFonts w:hint="eastAsia"/>
                <w:szCs w:val="21"/>
              </w:rPr>
              <w:t>*</w:t>
            </w:r>
          </w:p>
        </w:tc>
        <w:tc>
          <w:tcPr>
            <w:tcW w:w="2835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rPr>
                <w:szCs w:val="21"/>
              </w:rPr>
            </w:pPr>
            <w:r w:rsidRPr="005A730F">
              <w:rPr>
                <w:szCs w:val="21"/>
              </w:rPr>
              <w:t>21(19</w:t>
            </w:r>
            <w:r w:rsidRPr="005A730F">
              <w:rPr>
                <w:rFonts w:hint="eastAsia"/>
                <w:szCs w:val="21"/>
              </w:rPr>
              <w:t>%</w:t>
            </w:r>
            <w:r w:rsidRPr="005A730F">
              <w:rPr>
                <w:szCs w:val="21"/>
              </w:rPr>
              <w:t>)</w:t>
            </w:r>
          </w:p>
        </w:tc>
        <w:tc>
          <w:tcPr>
            <w:tcW w:w="2460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rPr>
                <w:szCs w:val="21"/>
              </w:rPr>
            </w:pPr>
            <w:r w:rsidRPr="005A730F">
              <w:rPr>
                <w:szCs w:val="21"/>
              </w:rPr>
              <w:t>15(13</w:t>
            </w:r>
            <w:r w:rsidRPr="005A730F">
              <w:rPr>
                <w:rFonts w:hint="eastAsia"/>
                <w:szCs w:val="21"/>
              </w:rPr>
              <w:t>%</w:t>
            </w:r>
            <w:r w:rsidRPr="005A730F">
              <w:rPr>
                <w:szCs w:val="21"/>
              </w:rPr>
              <w:t>)</w:t>
            </w:r>
          </w:p>
        </w:tc>
      </w:tr>
      <w:tr w:rsidR="0030481B" w:rsidRPr="005A730F" w:rsidTr="0030481B">
        <w:trPr>
          <w:jc w:val="center"/>
        </w:trPr>
        <w:tc>
          <w:tcPr>
            <w:tcW w:w="3227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rPr>
                <w:b/>
                <w:szCs w:val="21"/>
              </w:rPr>
            </w:pPr>
            <w:r w:rsidRPr="005A730F">
              <w:rPr>
                <w:rFonts w:hint="eastAsia"/>
                <w:b/>
                <w:szCs w:val="21"/>
              </w:rPr>
              <w:t>研究者报告，未定义的事件</w:t>
            </w:r>
          </w:p>
        </w:tc>
        <w:tc>
          <w:tcPr>
            <w:tcW w:w="2835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rPr>
                <w:szCs w:val="21"/>
              </w:rPr>
            </w:pPr>
          </w:p>
        </w:tc>
      </w:tr>
      <w:tr w:rsidR="0030481B" w:rsidRPr="005A730F" w:rsidTr="0030481B">
        <w:trPr>
          <w:trHeight w:val="350"/>
          <w:jc w:val="center"/>
        </w:trPr>
        <w:tc>
          <w:tcPr>
            <w:tcW w:w="3227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缺血性不良事件</w:t>
            </w:r>
          </w:p>
        </w:tc>
        <w:tc>
          <w:tcPr>
            <w:tcW w:w="2835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rPr>
                <w:szCs w:val="21"/>
              </w:rPr>
            </w:pPr>
            <w:r w:rsidRPr="005A730F">
              <w:rPr>
                <w:szCs w:val="21"/>
              </w:rPr>
              <w:t>10(9</w:t>
            </w:r>
            <w:r w:rsidRPr="005A730F">
              <w:rPr>
                <w:rFonts w:hint="eastAsia"/>
                <w:szCs w:val="21"/>
              </w:rPr>
              <w:t>%</w:t>
            </w:r>
            <w:r w:rsidRPr="005A730F">
              <w:rPr>
                <w:szCs w:val="21"/>
              </w:rPr>
              <w:t>)</w:t>
            </w:r>
          </w:p>
        </w:tc>
        <w:tc>
          <w:tcPr>
            <w:tcW w:w="2460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rPr>
                <w:szCs w:val="21"/>
              </w:rPr>
            </w:pPr>
            <w:r w:rsidRPr="005A730F">
              <w:rPr>
                <w:szCs w:val="21"/>
              </w:rPr>
              <w:t>5(4</w:t>
            </w:r>
            <w:r w:rsidRPr="005A730F">
              <w:rPr>
                <w:rFonts w:hint="eastAsia"/>
                <w:szCs w:val="21"/>
              </w:rPr>
              <w:t>%</w:t>
            </w:r>
            <w:r w:rsidRPr="005A730F">
              <w:rPr>
                <w:szCs w:val="21"/>
              </w:rPr>
              <w:t>)</w:t>
            </w:r>
          </w:p>
        </w:tc>
      </w:tr>
      <w:tr w:rsidR="0030481B" w:rsidRPr="005A730F" w:rsidTr="0030481B">
        <w:trPr>
          <w:trHeight w:val="476"/>
          <w:jc w:val="center"/>
        </w:trPr>
        <w:tc>
          <w:tcPr>
            <w:tcW w:w="3227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ind w:firstLineChars="200" w:firstLine="420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—心肌梗死</w:t>
            </w:r>
          </w:p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ind w:firstLineChars="200" w:firstLine="420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—心绞痛</w:t>
            </w:r>
          </w:p>
        </w:tc>
        <w:tc>
          <w:tcPr>
            <w:tcW w:w="2835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rPr>
                <w:szCs w:val="21"/>
              </w:rPr>
            </w:pPr>
            <w:r w:rsidRPr="005A730F">
              <w:rPr>
                <w:szCs w:val="21"/>
              </w:rPr>
              <w:t>5(5</w:t>
            </w:r>
            <w:r w:rsidRPr="005A730F">
              <w:rPr>
                <w:rFonts w:hint="eastAsia"/>
                <w:szCs w:val="21"/>
              </w:rPr>
              <w:t>%</w:t>
            </w:r>
            <w:r w:rsidRPr="005A730F">
              <w:rPr>
                <w:szCs w:val="21"/>
              </w:rPr>
              <w:t>)</w:t>
            </w:r>
          </w:p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rPr>
                <w:szCs w:val="21"/>
              </w:rPr>
            </w:pPr>
            <w:r w:rsidRPr="005A730F">
              <w:rPr>
                <w:szCs w:val="21"/>
              </w:rPr>
              <w:t>6(5</w:t>
            </w:r>
            <w:r w:rsidRPr="005A730F">
              <w:rPr>
                <w:rFonts w:hint="eastAsia"/>
                <w:szCs w:val="21"/>
              </w:rPr>
              <w:t>%</w:t>
            </w:r>
            <w:r w:rsidRPr="005A730F">
              <w:rPr>
                <w:szCs w:val="21"/>
              </w:rPr>
              <w:t>)</w:t>
            </w:r>
          </w:p>
        </w:tc>
        <w:tc>
          <w:tcPr>
            <w:tcW w:w="2460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rPr>
                <w:szCs w:val="21"/>
              </w:rPr>
            </w:pPr>
            <w:r w:rsidRPr="005A730F">
              <w:rPr>
                <w:szCs w:val="21"/>
              </w:rPr>
              <w:t>2(2</w:t>
            </w:r>
            <w:r w:rsidRPr="005A730F">
              <w:rPr>
                <w:rFonts w:hint="eastAsia"/>
                <w:szCs w:val="21"/>
              </w:rPr>
              <w:t>%</w:t>
            </w:r>
            <w:r w:rsidRPr="005A730F">
              <w:rPr>
                <w:szCs w:val="21"/>
              </w:rPr>
              <w:t>)</w:t>
            </w:r>
          </w:p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rPr>
                <w:szCs w:val="21"/>
              </w:rPr>
            </w:pPr>
            <w:r w:rsidRPr="005A730F">
              <w:rPr>
                <w:szCs w:val="21"/>
              </w:rPr>
              <w:t>3(3</w:t>
            </w:r>
            <w:r w:rsidRPr="005A730F">
              <w:rPr>
                <w:rFonts w:hint="eastAsia"/>
                <w:szCs w:val="21"/>
              </w:rPr>
              <w:t>%</w:t>
            </w:r>
            <w:r w:rsidRPr="005A730F">
              <w:rPr>
                <w:szCs w:val="21"/>
              </w:rPr>
              <w:t>)</w:t>
            </w:r>
          </w:p>
        </w:tc>
      </w:tr>
    </w:tbl>
    <w:p w:rsidR="0030481B" w:rsidRPr="005A730F" w:rsidRDefault="0030481B" w:rsidP="0030481B">
      <w:pPr>
        <w:tabs>
          <w:tab w:val="left" w:pos="1418"/>
        </w:tabs>
        <w:adjustRightInd w:val="0"/>
        <w:snapToGrid w:val="0"/>
        <w:spacing w:afterLines="50" w:after="156" w:line="360" w:lineRule="auto"/>
        <w:ind w:firstLineChars="50" w:firstLine="105"/>
        <w:rPr>
          <w:szCs w:val="21"/>
        </w:rPr>
      </w:pPr>
      <w:r w:rsidRPr="005A730F">
        <w:rPr>
          <w:rFonts w:hint="eastAsia"/>
          <w:szCs w:val="21"/>
        </w:rPr>
        <w:t>*</w:t>
      </w:r>
      <w:r w:rsidRPr="005A730F">
        <w:rPr>
          <w:rFonts w:hint="eastAsia"/>
          <w:szCs w:val="21"/>
        </w:rPr>
        <w:t>包括任何由于心血管原因引起的住院</w:t>
      </w:r>
    </w:p>
    <w:p w:rsidR="0030481B" w:rsidRPr="005A730F" w:rsidRDefault="0030481B" w:rsidP="0030481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A730F">
        <w:rPr>
          <w:rFonts w:eastAsia="仿宋_GB2312"/>
          <w:sz w:val="32"/>
          <w:szCs w:val="32"/>
        </w:rPr>
        <w:t>在</w:t>
      </w:r>
      <w:r w:rsidRPr="005A730F">
        <w:rPr>
          <w:rFonts w:eastAsia="仿宋_GB2312"/>
          <w:sz w:val="32"/>
          <w:szCs w:val="32"/>
        </w:rPr>
        <w:t>2</w:t>
      </w:r>
      <w:r w:rsidRPr="005A730F">
        <w:rPr>
          <w:rFonts w:eastAsia="仿宋_GB2312"/>
          <w:sz w:val="32"/>
          <w:szCs w:val="32"/>
        </w:rPr>
        <w:t>型糖尿病患者的长期、心血管终点试验（</w:t>
      </w:r>
      <w:r w:rsidRPr="005A730F">
        <w:rPr>
          <w:rFonts w:eastAsia="仿宋_GB2312"/>
          <w:sz w:val="32"/>
          <w:szCs w:val="32"/>
        </w:rPr>
        <w:t>RECORD</w:t>
      </w:r>
      <w:r w:rsidRPr="005A730F">
        <w:rPr>
          <w:rFonts w:eastAsia="仿宋_GB2312"/>
          <w:sz w:val="32"/>
          <w:szCs w:val="32"/>
        </w:rPr>
        <w:t>）</w:t>
      </w:r>
      <w:r w:rsidRPr="005A730F">
        <w:rPr>
          <w:rFonts w:eastAsia="仿宋_GB2312"/>
          <w:sz w:val="32"/>
          <w:szCs w:val="32"/>
        </w:rPr>
        <w:lastRenderedPageBreak/>
        <w:t>中，罗格</w:t>
      </w:r>
      <w:proofErr w:type="gramStart"/>
      <w:r w:rsidRPr="005A730F">
        <w:rPr>
          <w:rFonts w:eastAsia="仿宋_GB2312"/>
          <w:sz w:val="32"/>
          <w:szCs w:val="32"/>
        </w:rPr>
        <w:t>列酮组心力衰竭</w:t>
      </w:r>
      <w:proofErr w:type="gramEnd"/>
      <w:r w:rsidRPr="005A730F">
        <w:rPr>
          <w:rFonts w:eastAsia="仿宋_GB2312"/>
          <w:sz w:val="32"/>
          <w:szCs w:val="32"/>
        </w:rPr>
        <w:t>的发病率增高</w:t>
      </w:r>
      <w:r w:rsidRPr="005A730F">
        <w:rPr>
          <w:rFonts w:eastAsia="仿宋_GB2312"/>
          <w:sz w:val="32"/>
          <w:szCs w:val="32"/>
        </w:rPr>
        <w:t>[</w:t>
      </w:r>
      <w:r w:rsidRPr="005A730F">
        <w:rPr>
          <w:rFonts w:eastAsia="仿宋_GB2312"/>
          <w:sz w:val="32"/>
          <w:szCs w:val="32"/>
        </w:rPr>
        <w:t>治疗组</w:t>
      </w:r>
      <w:r w:rsidRPr="005A730F">
        <w:rPr>
          <w:rFonts w:eastAsia="仿宋_GB2312"/>
          <w:sz w:val="32"/>
          <w:szCs w:val="32"/>
        </w:rPr>
        <w:t>2.7%</w:t>
      </w:r>
      <w:r w:rsidRPr="005A730F">
        <w:rPr>
          <w:rFonts w:eastAsia="仿宋_GB2312"/>
          <w:sz w:val="32"/>
          <w:szCs w:val="32"/>
        </w:rPr>
        <w:t>（</w:t>
      </w:r>
      <w:r w:rsidRPr="005A730F">
        <w:rPr>
          <w:rFonts w:eastAsia="仿宋_GB2312"/>
          <w:sz w:val="32"/>
          <w:szCs w:val="32"/>
        </w:rPr>
        <w:t>61</w:t>
      </w:r>
      <w:r w:rsidRPr="005A730F">
        <w:rPr>
          <w:rFonts w:eastAsia="仿宋_GB2312"/>
          <w:sz w:val="32"/>
          <w:szCs w:val="32"/>
        </w:rPr>
        <w:t>／</w:t>
      </w:r>
      <w:r w:rsidRPr="005A730F">
        <w:rPr>
          <w:rFonts w:eastAsia="仿宋_GB2312"/>
          <w:sz w:val="32"/>
          <w:szCs w:val="32"/>
        </w:rPr>
        <w:t>2220</w:t>
      </w:r>
      <w:r w:rsidRPr="005A730F">
        <w:rPr>
          <w:rFonts w:eastAsia="仿宋_GB2312"/>
          <w:sz w:val="32"/>
          <w:szCs w:val="32"/>
        </w:rPr>
        <w:t>），对照组</w:t>
      </w:r>
      <w:r w:rsidRPr="005A730F">
        <w:rPr>
          <w:rFonts w:eastAsia="仿宋_GB2312"/>
          <w:sz w:val="32"/>
          <w:szCs w:val="32"/>
        </w:rPr>
        <w:t>1.3%</w:t>
      </w:r>
      <w:r w:rsidRPr="005A730F">
        <w:rPr>
          <w:rFonts w:eastAsia="仿宋_GB2312"/>
          <w:sz w:val="32"/>
          <w:szCs w:val="32"/>
        </w:rPr>
        <w:t>（</w:t>
      </w:r>
      <w:r w:rsidRPr="005A730F">
        <w:rPr>
          <w:rFonts w:eastAsia="仿宋_GB2312"/>
          <w:sz w:val="32"/>
          <w:szCs w:val="32"/>
        </w:rPr>
        <w:t>29/2227</w:t>
      </w:r>
      <w:r w:rsidRPr="005A730F">
        <w:rPr>
          <w:rFonts w:eastAsia="仿宋_GB2312"/>
          <w:sz w:val="32"/>
          <w:szCs w:val="32"/>
        </w:rPr>
        <w:t>），</w:t>
      </w:r>
      <w:r w:rsidRPr="005A730F">
        <w:rPr>
          <w:rFonts w:eastAsia="仿宋_GB2312"/>
          <w:sz w:val="32"/>
          <w:szCs w:val="32"/>
        </w:rPr>
        <w:t>HR 2.10</w:t>
      </w:r>
      <w:r w:rsidRPr="005A730F">
        <w:rPr>
          <w:rFonts w:eastAsia="仿宋_GB2312"/>
          <w:sz w:val="32"/>
          <w:szCs w:val="32"/>
        </w:rPr>
        <w:t>（</w:t>
      </w:r>
      <w:r w:rsidRPr="005A730F">
        <w:rPr>
          <w:rFonts w:eastAsia="仿宋_GB2312"/>
          <w:sz w:val="32"/>
          <w:szCs w:val="32"/>
        </w:rPr>
        <w:t>95%CI</w:t>
      </w:r>
      <w:r w:rsidRPr="005A730F">
        <w:rPr>
          <w:rFonts w:eastAsia="仿宋_GB2312"/>
          <w:sz w:val="32"/>
          <w:szCs w:val="32"/>
        </w:rPr>
        <w:t>：</w:t>
      </w:r>
      <w:r w:rsidRPr="005A730F">
        <w:rPr>
          <w:rFonts w:eastAsia="仿宋_GB2312"/>
          <w:sz w:val="32"/>
          <w:szCs w:val="32"/>
        </w:rPr>
        <w:t>1.35</w:t>
      </w:r>
      <w:r w:rsidRPr="005A730F">
        <w:rPr>
          <w:rFonts w:eastAsia="仿宋_GB2312"/>
          <w:sz w:val="32"/>
          <w:szCs w:val="32"/>
        </w:rPr>
        <w:t>，</w:t>
      </w:r>
      <w:r w:rsidRPr="005A730F">
        <w:rPr>
          <w:rFonts w:eastAsia="仿宋_GB2312"/>
          <w:sz w:val="32"/>
          <w:szCs w:val="32"/>
        </w:rPr>
        <w:t>3.27</w:t>
      </w:r>
      <w:r w:rsidRPr="005A730F">
        <w:rPr>
          <w:rFonts w:eastAsia="仿宋_GB2312"/>
          <w:sz w:val="32"/>
          <w:szCs w:val="32"/>
        </w:rPr>
        <w:t>）</w:t>
      </w:r>
      <w:r w:rsidRPr="005A730F">
        <w:rPr>
          <w:rFonts w:eastAsia="仿宋_GB2312"/>
          <w:sz w:val="32"/>
          <w:szCs w:val="32"/>
        </w:rPr>
        <w:t>]</w:t>
      </w:r>
      <w:r w:rsidRPr="005A730F">
        <w:rPr>
          <w:rFonts w:eastAsia="仿宋_GB2312"/>
          <w:sz w:val="32"/>
          <w:szCs w:val="32"/>
        </w:rPr>
        <w:t>。</w:t>
      </w:r>
    </w:p>
    <w:p w:rsidR="0030481B" w:rsidRPr="005A730F" w:rsidRDefault="0030481B" w:rsidP="0030481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A730F">
        <w:rPr>
          <w:rFonts w:eastAsia="仿宋_GB2312"/>
          <w:sz w:val="32"/>
          <w:szCs w:val="32"/>
        </w:rPr>
        <w:t>尚未在对照临床试验中对出现急性冠脉综合征的患者进行研究。鉴于有急性冠状动脉事件的患者中有可能发生心衰，所以出现急性冠状动脉事件的患者不推荐使用罗格列酮，这种急性事件期间要考虑停用罗格列酮。</w:t>
      </w:r>
    </w:p>
    <w:p w:rsidR="0030481B" w:rsidRPr="005A730F" w:rsidRDefault="0030481B" w:rsidP="0030481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A730F">
        <w:rPr>
          <w:rFonts w:eastAsia="仿宋_GB2312"/>
          <w:sz w:val="32"/>
          <w:szCs w:val="32"/>
        </w:rPr>
        <w:t>未进行严重心衰患者（</w:t>
      </w:r>
      <w:r w:rsidRPr="005A730F">
        <w:rPr>
          <w:rFonts w:eastAsia="仿宋_GB2312"/>
          <w:sz w:val="32"/>
          <w:szCs w:val="32"/>
        </w:rPr>
        <w:t>NYHA</w:t>
      </w:r>
      <w:r w:rsidRPr="005A730F">
        <w:rPr>
          <w:rFonts w:eastAsia="仿宋_GB2312"/>
          <w:sz w:val="32"/>
          <w:szCs w:val="32"/>
        </w:rPr>
        <w:t>分级为</w:t>
      </w:r>
      <w:r w:rsidRPr="005A730F">
        <w:rPr>
          <w:rFonts w:ascii="宋体" w:hAnsi="宋体" w:cs="宋体" w:hint="eastAsia"/>
          <w:sz w:val="32"/>
          <w:szCs w:val="32"/>
        </w:rPr>
        <w:t>Ⅲ</w:t>
      </w:r>
      <w:r w:rsidRPr="005A730F">
        <w:rPr>
          <w:rFonts w:eastAsia="仿宋_GB2312"/>
          <w:sz w:val="32"/>
          <w:szCs w:val="32"/>
        </w:rPr>
        <w:t>级和</w:t>
      </w:r>
      <w:r w:rsidRPr="005A730F">
        <w:rPr>
          <w:rFonts w:ascii="宋体" w:hAnsi="宋体" w:cs="宋体" w:hint="eastAsia"/>
          <w:sz w:val="32"/>
          <w:szCs w:val="32"/>
        </w:rPr>
        <w:t>Ⅳ</w:t>
      </w:r>
      <w:r w:rsidRPr="005A730F">
        <w:rPr>
          <w:rFonts w:eastAsia="仿宋_GB2312"/>
          <w:sz w:val="32"/>
          <w:szCs w:val="32"/>
        </w:rPr>
        <w:t>级的患者和急性心衰患者）的临床研究。</w:t>
      </w:r>
    </w:p>
    <w:p w:rsidR="0030481B" w:rsidRPr="005A730F" w:rsidRDefault="0030481B" w:rsidP="0030481B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5A730F">
        <w:rPr>
          <w:rFonts w:eastAsia="仿宋_GB2312"/>
          <w:b/>
          <w:sz w:val="32"/>
          <w:szCs w:val="32"/>
        </w:rPr>
        <w:t>马来酸罗格列</w:t>
      </w:r>
      <w:proofErr w:type="gramStart"/>
      <w:r w:rsidRPr="005A730F">
        <w:rPr>
          <w:rFonts w:eastAsia="仿宋_GB2312"/>
          <w:b/>
          <w:sz w:val="32"/>
          <w:szCs w:val="32"/>
        </w:rPr>
        <w:t>酮联合</w:t>
      </w:r>
      <w:proofErr w:type="gramEnd"/>
      <w:r w:rsidRPr="005A730F">
        <w:rPr>
          <w:rFonts w:eastAsia="仿宋_GB2312"/>
          <w:b/>
          <w:sz w:val="32"/>
          <w:szCs w:val="32"/>
        </w:rPr>
        <w:t>胰岛素治疗的充血性心力衰竭：</w:t>
      </w:r>
      <w:r w:rsidRPr="005A730F">
        <w:rPr>
          <w:rFonts w:eastAsia="仿宋_GB2312"/>
          <w:sz w:val="32"/>
          <w:szCs w:val="32"/>
        </w:rPr>
        <w:t>在罗格列酮加用胰岛素的临床试验中，罗格列</w:t>
      </w:r>
      <w:proofErr w:type="gramStart"/>
      <w:r w:rsidRPr="005A730F">
        <w:rPr>
          <w:rFonts w:eastAsia="仿宋_GB2312"/>
          <w:sz w:val="32"/>
          <w:szCs w:val="32"/>
        </w:rPr>
        <w:t>酮增加</w:t>
      </w:r>
      <w:proofErr w:type="gramEnd"/>
      <w:r w:rsidRPr="005A730F">
        <w:rPr>
          <w:rFonts w:eastAsia="仿宋_GB2312"/>
          <w:sz w:val="32"/>
          <w:szCs w:val="32"/>
        </w:rPr>
        <w:t>充血性心力衰竭风险。不建议罗格列酮与胰岛素合用。</w:t>
      </w:r>
    </w:p>
    <w:p w:rsidR="0030481B" w:rsidRPr="005A730F" w:rsidRDefault="0030481B" w:rsidP="0030481B">
      <w:pPr>
        <w:spacing w:line="560" w:lineRule="exact"/>
        <w:ind w:firstLineChars="200" w:firstLine="656"/>
        <w:rPr>
          <w:rFonts w:eastAsia="仿宋_GB2312"/>
          <w:sz w:val="32"/>
          <w:szCs w:val="32"/>
        </w:rPr>
      </w:pPr>
      <w:r w:rsidRPr="005A730F">
        <w:rPr>
          <w:rFonts w:eastAsia="仿宋_GB2312"/>
          <w:spacing w:val="4"/>
          <w:sz w:val="32"/>
          <w:szCs w:val="32"/>
        </w:rPr>
        <w:t>7</w:t>
      </w:r>
      <w:r w:rsidRPr="005A730F">
        <w:rPr>
          <w:rFonts w:eastAsia="仿宋_GB2312"/>
          <w:spacing w:val="4"/>
          <w:sz w:val="32"/>
          <w:szCs w:val="32"/>
        </w:rPr>
        <w:t>项持续时间从</w:t>
      </w:r>
      <w:r w:rsidRPr="005A730F">
        <w:rPr>
          <w:rFonts w:eastAsia="仿宋_GB2312"/>
          <w:spacing w:val="4"/>
          <w:sz w:val="32"/>
          <w:szCs w:val="32"/>
        </w:rPr>
        <w:t>16</w:t>
      </w:r>
      <w:r w:rsidRPr="005A730F">
        <w:rPr>
          <w:rFonts w:eastAsia="仿宋_GB2312"/>
          <w:spacing w:val="4"/>
          <w:sz w:val="32"/>
          <w:szCs w:val="32"/>
        </w:rPr>
        <w:t>至</w:t>
      </w:r>
      <w:r w:rsidRPr="005A730F">
        <w:rPr>
          <w:rFonts w:eastAsia="仿宋_GB2312"/>
          <w:spacing w:val="4"/>
          <w:sz w:val="32"/>
          <w:szCs w:val="32"/>
        </w:rPr>
        <w:t>26</w:t>
      </w:r>
      <w:r w:rsidRPr="005A730F">
        <w:rPr>
          <w:rFonts w:eastAsia="仿宋_GB2312"/>
          <w:spacing w:val="4"/>
          <w:sz w:val="32"/>
          <w:szCs w:val="32"/>
        </w:rPr>
        <w:t>周的随机双盲对照试验被纳入了荟萃分析，</w:t>
      </w:r>
      <w:r w:rsidRPr="005A730F">
        <w:rPr>
          <w:rFonts w:eastAsia="仿宋_GB2312"/>
          <w:spacing w:val="4"/>
          <w:sz w:val="32"/>
          <w:szCs w:val="32"/>
        </w:rPr>
        <w:t>2</w:t>
      </w:r>
      <w:r w:rsidRPr="005A730F">
        <w:rPr>
          <w:rFonts w:eastAsia="仿宋_GB2312"/>
          <w:spacing w:val="4"/>
          <w:sz w:val="32"/>
          <w:szCs w:val="32"/>
        </w:rPr>
        <w:t>型糖尿病患者随机分入罗格列酮与胰岛素合用组</w:t>
      </w:r>
      <w:r w:rsidRPr="005A730F">
        <w:rPr>
          <w:rFonts w:eastAsia="仿宋_GB2312" w:hint="eastAsia"/>
          <w:sz w:val="32"/>
          <w:szCs w:val="32"/>
        </w:rPr>
        <w:t>（</w:t>
      </w:r>
      <w:r w:rsidRPr="005A730F">
        <w:rPr>
          <w:rFonts w:eastAsia="仿宋_GB2312"/>
          <w:sz w:val="32"/>
          <w:szCs w:val="32"/>
        </w:rPr>
        <w:t>N =1018</w:t>
      </w:r>
      <w:r w:rsidRPr="005A730F">
        <w:rPr>
          <w:rFonts w:eastAsia="仿宋_GB2312" w:hint="eastAsia"/>
          <w:sz w:val="32"/>
          <w:szCs w:val="32"/>
        </w:rPr>
        <w:t>）</w:t>
      </w:r>
      <w:r w:rsidRPr="005A730F">
        <w:rPr>
          <w:rFonts w:eastAsia="仿宋_GB2312"/>
          <w:sz w:val="32"/>
          <w:szCs w:val="32"/>
        </w:rPr>
        <w:t>或胰岛素组</w:t>
      </w:r>
      <w:r w:rsidRPr="005A730F">
        <w:rPr>
          <w:rFonts w:eastAsia="仿宋_GB2312" w:hint="eastAsia"/>
          <w:sz w:val="32"/>
          <w:szCs w:val="32"/>
        </w:rPr>
        <w:t>（</w:t>
      </w:r>
      <w:r w:rsidRPr="005A730F">
        <w:rPr>
          <w:rFonts w:eastAsia="仿宋_GB2312"/>
          <w:sz w:val="32"/>
          <w:szCs w:val="32"/>
        </w:rPr>
        <w:t>N= 815</w:t>
      </w:r>
      <w:r w:rsidRPr="005A730F">
        <w:rPr>
          <w:rFonts w:eastAsia="仿宋_GB2312" w:hint="eastAsia"/>
          <w:sz w:val="32"/>
          <w:szCs w:val="32"/>
        </w:rPr>
        <w:t>）</w:t>
      </w:r>
      <w:r w:rsidRPr="005A730F">
        <w:rPr>
          <w:rFonts w:eastAsia="仿宋_GB2312"/>
          <w:sz w:val="32"/>
          <w:szCs w:val="32"/>
        </w:rPr>
        <w:t>。在这</w:t>
      </w:r>
      <w:r w:rsidRPr="005A730F">
        <w:rPr>
          <w:rFonts w:eastAsia="仿宋_GB2312"/>
          <w:sz w:val="32"/>
          <w:szCs w:val="32"/>
        </w:rPr>
        <w:t>7</w:t>
      </w:r>
      <w:r w:rsidRPr="005A730F">
        <w:rPr>
          <w:rFonts w:eastAsia="仿宋_GB2312"/>
          <w:sz w:val="32"/>
          <w:szCs w:val="32"/>
        </w:rPr>
        <w:t>项试验中，使用胰岛素患者增加罗格列酮治疗。这些试验包括了长期糖尿病患者（中位病程</w:t>
      </w:r>
      <w:r w:rsidRPr="005A730F">
        <w:rPr>
          <w:rFonts w:eastAsia="仿宋_GB2312"/>
          <w:sz w:val="32"/>
          <w:szCs w:val="32"/>
        </w:rPr>
        <w:t>12</w:t>
      </w:r>
      <w:r w:rsidRPr="005A730F">
        <w:rPr>
          <w:rFonts w:eastAsia="仿宋_GB2312"/>
          <w:sz w:val="32"/>
          <w:szCs w:val="32"/>
        </w:rPr>
        <w:t>年），很多患者之前就患有其他疾病，包括周围神经病变、视网膜病变、缺血性心脏病、血管疾病和充血性心力衰竭。罗格</w:t>
      </w:r>
      <w:proofErr w:type="gramStart"/>
      <w:r w:rsidRPr="005A730F">
        <w:rPr>
          <w:rFonts w:eastAsia="仿宋_GB2312"/>
          <w:sz w:val="32"/>
          <w:szCs w:val="32"/>
        </w:rPr>
        <w:t>列酮加胰岛素</w:t>
      </w:r>
      <w:proofErr w:type="gramEnd"/>
      <w:r w:rsidRPr="005A730F">
        <w:rPr>
          <w:rFonts w:eastAsia="仿宋_GB2312"/>
          <w:sz w:val="32"/>
          <w:szCs w:val="32"/>
        </w:rPr>
        <w:t>组和胰岛素组急性充血性心力衰竭患者的总病例数分别为</w:t>
      </w:r>
      <w:r w:rsidRPr="005A730F">
        <w:rPr>
          <w:rFonts w:eastAsia="仿宋_GB2312"/>
          <w:sz w:val="32"/>
          <w:szCs w:val="32"/>
        </w:rPr>
        <w:t>23</w:t>
      </w:r>
      <w:r w:rsidRPr="005A730F">
        <w:rPr>
          <w:rFonts w:eastAsia="仿宋_GB2312"/>
          <w:sz w:val="32"/>
          <w:szCs w:val="32"/>
        </w:rPr>
        <w:t>例</w:t>
      </w:r>
      <w:r w:rsidRPr="005A730F">
        <w:rPr>
          <w:rFonts w:eastAsia="仿宋_GB2312" w:hint="eastAsia"/>
          <w:sz w:val="32"/>
          <w:szCs w:val="32"/>
        </w:rPr>
        <w:t>（</w:t>
      </w:r>
      <w:r w:rsidRPr="005A730F">
        <w:rPr>
          <w:rFonts w:eastAsia="仿宋_GB2312"/>
          <w:sz w:val="32"/>
          <w:szCs w:val="32"/>
        </w:rPr>
        <w:t>2.3%</w:t>
      </w:r>
      <w:r w:rsidRPr="005A730F">
        <w:rPr>
          <w:rFonts w:eastAsia="仿宋_GB2312" w:hint="eastAsia"/>
          <w:sz w:val="32"/>
          <w:szCs w:val="32"/>
        </w:rPr>
        <w:t>）</w:t>
      </w:r>
      <w:r w:rsidRPr="005A730F">
        <w:rPr>
          <w:rFonts w:eastAsia="仿宋_GB2312"/>
          <w:sz w:val="32"/>
          <w:szCs w:val="32"/>
        </w:rPr>
        <w:t>和</w:t>
      </w:r>
      <w:r w:rsidRPr="005A730F">
        <w:rPr>
          <w:rFonts w:eastAsia="仿宋_GB2312"/>
          <w:sz w:val="32"/>
          <w:szCs w:val="32"/>
        </w:rPr>
        <w:t>8</w:t>
      </w:r>
      <w:r w:rsidRPr="005A730F">
        <w:rPr>
          <w:rFonts w:eastAsia="仿宋_GB2312"/>
          <w:sz w:val="32"/>
          <w:szCs w:val="32"/>
        </w:rPr>
        <w:t>例（</w:t>
      </w:r>
      <w:r w:rsidRPr="005A730F">
        <w:rPr>
          <w:rFonts w:eastAsia="仿宋_GB2312"/>
          <w:sz w:val="32"/>
          <w:szCs w:val="32"/>
        </w:rPr>
        <w:t>1.0%</w:t>
      </w:r>
      <w:r w:rsidRPr="005A730F">
        <w:rPr>
          <w:rFonts w:eastAsia="仿宋_GB2312"/>
          <w:sz w:val="32"/>
          <w:szCs w:val="32"/>
        </w:rPr>
        <w:t>）。</w:t>
      </w:r>
    </w:p>
    <w:p w:rsidR="0030481B" w:rsidRPr="005A730F" w:rsidRDefault="0030481B" w:rsidP="0030481B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5A730F">
        <w:rPr>
          <w:rFonts w:eastAsia="仿宋_GB2312"/>
          <w:b/>
          <w:sz w:val="32"/>
          <w:szCs w:val="32"/>
        </w:rPr>
        <w:t>比较马来酸罗格列酮与</w:t>
      </w:r>
      <w:proofErr w:type="gramStart"/>
      <w:r w:rsidRPr="005A730F">
        <w:rPr>
          <w:rFonts w:eastAsia="仿宋_GB2312"/>
          <w:b/>
          <w:sz w:val="32"/>
          <w:szCs w:val="32"/>
        </w:rPr>
        <w:t>吡</w:t>
      </w:r>
      <w:proofErr w:type="gramEnd"/>
      <w:r w:rsidRPr="005A730F">
        <w:rPr>
          <w:rFonts w:eastAsia="仿宋_GB2312"/>
          <w:b/>
          <w:sz w:val="32"/>
          <w:szCs w:val="32"/>
        </w:rPr>
        <w:t>格</w:t>
      </w:r>
      <w:proofErr w:type="gramStart"/>
      <w:r w:rsidRPr="005A730F">
        <w:rPr>
          <w:rFonts w:eastAsia="仿宋_GB2312"/>
          <w:b/>
          <w:sz w:val="32"/>
          <w:szCs w:val="32"/>
        </w:rPr>
        <w:t>列酮在老年</w:t>
      </w:r>
      <w:proofErr w:type="gramEnd"/>
      <w:r w:rsidRPr="005A730F">
        <w:rPr>
          <w:rFonts w:eastAsia="仿宋_GB2312"/>
          <w:b/>
          <w:sz w:val="32"/>
          <w:szCs w:val="32"/>
        </w:rPr>
        <w:t>糖尿病患者的观察性研究中的心力衰竭</w:t>
      </w:r>
      <w:r w:rsidRPr="005A730F">
        <w:rPr>
          <w:rFonts w:eastAsia="仿宋_GB2312"/>
          <w:b/>
          <w:sz w:val="32"/>
          <w:szCs w:val="32"/>
        </w:rPr>
        <w:t>:</w:t>
      </w:r>
      <w:r w:rsidRPr="005A730F">
        <w:rPr>
          <w:rFonts w:eastAsia="仿宋_GB2312"/>
          <w:sz w:val="32"/>
          <w:szCs w:val="32"/>
        </w:rPr>
        <w:t>三项老年糖尿病患者（</w:t>
      </w:r>
      <w:r w:rsidRPr="005A730F">
        <w:rPr>
          <w:rFonts w:eastAsia="仿宋_GB2312"/>
          <w:sz w:val="32"/>
          <w:szCs w:val="32"/>
        </w:rPr>
        <w:t>65</w:t>
      </w:r>
      <w:r w:rsidRPr="005A730F">
        <w:rPr>
          <w:rFonts w:eastAsia="仿宋_GB2312"/>
          <w:sz w:val="32"/>
          <w:szCs w:val="32"/>
        </w:rPr>
        <w:t>岁及以上）的观察性研究发现，罗格列酮较</w:t>
      </w:r>
      <w:proofErr w:type="gramStart"/>
      <w:r w:rsidRPr="005A730F">
        <w:rPr>
          <w:rFonts w:eastAsia="仿宋_GB2312"/>
          <w:sz w:val="32"/>
          <w:szCs w:val="32"/>
        </w:rPr>
        <w:t>吡</w:t>
      </w:r>
      <w:proofErr w:type="gramEnd"/>
      <w:r w:rsidRPr="005A730F">
        <w:rPr>
          <w:rFonts w:eastAsia="仿宋_GB2312"/>
          <w:sz w:val="32"/>
          <w:szCs w:val="32"/>
        </w:rPr>
        <w:t>格列</w:t>
      </w:r>
      <w:proofErr w:type="gramStart"/>
      <w:r w:rsidRPr="005A730F">
        <w:rPr>
          <w:rFonts w:eastAsia="仿宋_GB2312"/>
          <w:sz w:val="32"/>
          <w:szCs w:val="32"/>
        </w:rPr>
        <w:t>酮显著</w:t>
      </w:r>
      <w:proofErr w:type="gramEnd"/>
      <w:r w:rsidRPr="005A730F">
        <w:rPr>
          <w:rFonts w:eastAsia="仿宋_GB2312"/>
          <w:sz w:val="32"/>
          <w:szCs w:val="32"/>
        </w:rPr>
        <w:t>增加心力</w:t>
      </w:r>
      <w:r w:rsidRPr="005A730F">
        <w:rPr>
          <w:rFonts w:eastAsia="仿宋_GB2312"/>
          <w:sz w:val="32"/>
          <w:szCs w:val="32"/>
        </w:rPr>
        <w:lastRenderedPageBreak/>
        <w:t>衰竭（需住院治疗）的风险。另一个针对平均年龄</w:t>
      </w:r>
      <w:r w:rsidRPr="005A730F">
        <w:rPr>
          <w:rFonts w:eastAsia="仿宋_GB2312"/>
          <w:sz w:val="32"/>
          <w:szCs w:val="32"/>
        </w:rPr>
        <w:t>54</w:t>
      </w:r>
      <w:r w:rsidRPr="005A730F">
        <w:rPr>
          <w:rFonts w:eastAsia="仿宋_GB2312"/>
          <w:sz w:val="32"/>
          <w:szCs w:val="32"/>
        </w:rPr>
        <w:t>岁的患者，其中还包括一个＞</w:t>
      </w:r>
      <w:r w:rsidRPr="005A730F">
        <w:rPr>
          <w:rFonts w:eastAsia="仿宋_GB2312"/>
          <w:sz w:val="32"/>
          <w:szCs w:val="32"/>
        </w:rPr>
        <w:t>65</w:t>
      </w:r>
      <w:r w:rsidRPr="005A730F">
        <w:rPr>
          <w:rFonts w:eastAsia="仿宋_GB2312"/>
          <w:sz w:val="32"/>
          <w:szCs w:val="32"/>
        </w:rPr>
        <w:t>岁的亚群的观察研究，发现无论是急诊室还是住院治疗，老年人亚群使用罗格列酮和</w:t>
      </w:r>
      <w:proofErr w:type="gramStart"/>
      <w:r w:rsidRPr="005A730F">
        <w:rPr>
          <w:rFonts w:eastAsia="仿宋_GB2312"/>
          <w:sz w:val="32"/>
          <w:szCs w:val="32"/>
        </w:rPr>
        <w:t>吡</w:t>
      </w:r>
      <w:proofErr w:type="gramEnd"/>
      <w:r w:rsidRPr="005A730F">
        <w:rPr>
          <w:rFonts w:eastAsia="仿宋_GB2312"/>
          <w:sz w:val="32"/>
          <w:szCs w:val="32"/>
        </w:rPr>
        <w:t>格列酮相比，心力衰竭风险的升高无统计学意义。</w:t>
      </w:r>
    </w:p>
    <w:p w:rsidR="0030481B" w:rsidRPr="005A730F" w:rsidRDefault="0030481B" w:rsidP="0030481B">
      <w:pPr>
        <w:spacing w:line="560" w:lineRule="exact"/>
        <w:ind w:firstLineChars="200" w:firstLine="640"/>
        <w:rPr>
          <w:rFonts w:eastAsia="楷体_GB2312"/>
          <w:bCs/>
          <w:sz w:val="32"/>
          <w:szCs w:val="32"/>
        </w:rPr>
      </w:pPr>
      <w:r w:rsidRPr="005A730F">
        <w:rPr>
          <w:rFonts w:eastAsia="楷体_GB2312"/>
          <w:bCs/>
          <w:sz w:val="32"/>
          <w:szCs w:val="32"/>
        </w:rPr>
        <w:t>2</w:t>
      </w:r>
      <w:r w:rsidRPr="005A730F">
        <w:rPr>
          <w:rFonts w:eastAsia="楷体_GB2312" w:hint="eastAsia"/>
          <w:bCs/>
          <w:sz w:val="32"/>
          <w:szCs w:val="32"/>
        </w:rPr>
        <w:t>.</w:t>
      </w:r>
      <w:r w:rsidRPr="005A730F">
        <w:rPr>
          <w:rFonts w:eastAsia="楷体_GB2312"/>
          <w:bCs/>
          <w:sz w:val="32"/>
          <w:szCs w:val="32"/>
        </w:rPr>
        <w:t>主要心血管不良事件</w:t>
      </w:r>
    </w:p>
    <w:p w:rsidR="0030481B" w:rsidRPr="005A730F" w:rsidRDefault="0030481B" w:rsidP="0030481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A730F">
        <w:rPr>
          <w:rFonts w:eastAsia="仿宋_GB2312"/>
          <w:sz w:val="32"/>
          <w:szCs w:val="32"/>
        </w:rPr>
        <w:t>根据长期、前瞻性、随机对照的罗格列酮与二甲双</w:t>
      </w:r>
      <w:proofErr w:type="gramStart"/>
      <w:r w:rsidRPr="005A730F">
        <w:rPr>
          <w:rFonts w:eastAsia="仿宋_GB2312"/>
          <w:sz w:val="32"/>
          <w:szCs w:val="32"/>
        </w:rPr>
        <w:t>胍</w:t>
      </w:r>
      <w:proofErr w:type="gramEnd"/>
      <w:r w:rsidRPr="005A730F">
        <w:rPr>
          <w:rFonts w:eastAsia="仿宋_GB2312"/>
          <w:sz w:val="32"/>
          <w:szCs w:val="32"/>
        </w:rPr>
        <w:t>或</w:t>
      </w:r>
      <w:proofErr w:type="gramStart"/>
      <w:r w:rsidRPr="005A730F">
        <w:rPr>
          <w:rFonts w:eastAsia="仿宋_GB2312"/>
          <w:sz w:val="32"/>
          <w:szCs w:val="32"/>
        </w:rPr>
        <w:t>磺脲</w:t>
      </w:r>
      <w:proofErr w:type="gramEnd"/>
      <w:r w:rsidRPr="005A730F">
        <w:rPr>
          <w:rFonts w:eastAsia="仿宋_GB2312"/>
          <w:sz w:val="32"/>
          <w:szCs w:val="32"/>
        </w:rPr>
        <w:t>类药物的临床试验数据，特别是一项心血管终点试验（</w:t>
      </w:r>
      <w:r w:rsidRPr="005A730F">
        <w:rPr>
          <w:rFonts w:eastAsia="仿宋_GB2312"/>
          <w:sz w:val="32"/>
          <w:szCs w:val="32"/>
        </w:rPr>
        <w:t>RECORD</w:t>
      </w:r>
      <w:r w:rsidRPr="005A730F">
        <w:rPr>
          <w:rFonts w:eastAsia="仿宋_GB2312"/>
          <w:sz w:val="32"/>
          <w:szCs w:val="32"/>
        </w:rPr>
        <w:t>），观察到在总体死亡或主要心血管不良事件（</w:t>
      </w:r>
      <w:r w:rsidRPr="005A730F">
        <w:rPr>
          <w:rFonts w:eastAsia="仿宋_GB2312"/>
          <w:sz w:val="32"/>
          <w:szCs w:val="32"/>
        </w:rPr>
        <w:t>MACE</w:t>
      </w:r>
      <w:r w:rsidRPr="005A730F">
        <w:rPr>
          <w:rFonts w:eastAsia="仿宋_GB2312"/>
          <w:sz w:val="32"/>
          <w:szCs w:val="32"/>
        </w:rPr>
        <w:t>）及其单项指标上无差异。一项主要针对短期临床试验的荟萃分析显示：与安慰剂相比，罗格列</w:t>
      </w:r>
      <w:proofErr w:type="gramStart"/>
      <w:r w:rsidRPr="005A730F">
        <w:rPr>
          <w:rFonts w:eastAsia="仿宋_GB2312"/>
          <w:sz w:val="32"/>
          <w:szCs w:val="32"/>
        </w:rPr>
        <w:t>酮</w:t>
      </w:r>
      <w:proofErr w:type="gramEnd"/>
      <w:r w:rsidRPr="005A730F">
        <w:rPr>
          <w:rFonts w:eastAsia="仿宋_GB2312"/>
          <w:sz w:val="32"/>
          <w:szCs w:val="32"/>
        </w:rPr>
        <w:t>增加心肌梗死的风险。</w:t>
      </w:r>
    </w:p>
    <w:p w:rsidR="0030481B" w:rsidRPr="005A730F" w:rsidRDefault="0030481B" w:rsidP="0030481B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5A730F">
        <w:rPr>
          <w:rFonts w:eastAsia="仿宋_GB2312"/>
          <w:b/>
          <w:sz w:val="32"/>
          <w:szCs w:val="32"/>
        </w:rPr>
        <w:t>马来酸罗格列酮的大规模长期前瞻性随机对照试验中的心血管事件：</w:t>
      </w:r>
      <w:r w:rsidRPr="005A730F">
        <w:rPr>
          <w:rFonts w:eastAsia="仿宋_GB2312"/>
          <w:sz w:val="32"/>
          <w:szCs w:val="32"/>
        </w:rPr>
        <w:t>RECORD</w:t>
      </w:r>
      <w:r w:rsidRPr="005A730F">
        <w:rPr>
          <w:rFonts w:eastAsia="仿宋_GB2312"/>
          <w:sz w:val="32"/>
          <w:szCs w:val="32"/>
        </w:rPr>
        <w:t>是一项前瞻性设计的心血管终点试验（平均随访</w:t>
      </w:r>
      <w:r w:rsidRPr="005A730F">
        <w:rPr>
          <w:rFonts w:eastAsia="仿宋_GB2312"/>
          <w:sz w:val="32"/>
          <w:szCs w:val="32"/>
        </w:rPr>
        <w:t>5.5</w:t>
      </w:r>
      <w:r w:rsidRPr="005A730F">
        <w:rPr>
          <w:rFonts w:eastAsia="仿宋_GB2312"/>
          <w:sz w:val="32"/>
          <w:szCs w:val="32"/>
        </w:rPr>
        <w:t>年；</w:t>
      </w:r>
      <w:r w:rsidRPr="005A730F">
        <w:rPr>
          <w:rFonts w:eastAsia="仿宋_GB2312"/>
          <w:sz w:val="32"/>
          <w:szCs w:val="32"/>
        </w:rPr>
        <w:t>4447</w:t>
      </w:r>
      <w:r w:rsidRPr="005A730F">
        <w:rPr>
          <w:rFonts w:eastAsia="仿宋_GB2312"/>
          <w:sz w:val="32"/>
          <w:szCs w:val="32"/>
        </w:rPr>
        <w:t>例患者），在</w:t>
      </w:r>
      <w:r w:rsidRPr="005A730F">
        <w:rPr>
          <w:rFonts w:eastAsia="仿宋_GB2312"/>
          <w:sz w:val="32"/>
          <w:szCs w:val="32"/>
        </w:rPr>
        <w:t>2</w:t>
      </w:r>
      <w:r w:rsidRPr="005A730F">
        <w:rPr>
          <w:rFonts w:eastAsia="仿宋_GB2312"/>
          <w:sz w:val="32"/>
          <w:szCs w:val="32"/>
        </w:rPr>
        <w:t>型糖尿病患者中，将</w:t>
      </w:r>
      <w:proofErr w:type="gramStart"/>
      <w:r w:rsidRPr="005A730F">
        <w:rPr>
          <w:rFonts w:eastAsia="仿宋_GB2312"/>
          <w:sz w:val="32"/>
          <w:szCs w:val="32"/>
        </w:rPr>
        <w:t>罗格列酮加二</w:t>
      </w:r>
      <w:proofErr w:type="gramEnd"/>
      <w:r w:rsidRPr="005A730F">
        <w:rPr>
          <w:rFonts w:eastAsia="仿宋_GB2312"/>
          <w:sz w:val="32"/>
          <w:szCs w:val="32"/>
        </w:rPr>
        <w:t>甲双</w:t>
      </w:r>
      <w:proofErr w:type="gramStart"/>
      <w:r w:rsidRPr="005A730F">
        <w:rPr>
          <w:rFonts w:eastAsia="仿宋_GB2312"/>
          <w:sz w:val="32"/>
          <w:szCs w:val="32"/>
        </w:rPr>
        <w:t>胍</w:t>
      </w:r>
      <w:proofErr w:type="gramEnd"/>
      <w:r w:rsidRPr="005A730F">
        <w:rPr>
          <w:rFonts w:eastAsia="仿宋_GB2312"/>
          <w:sz w:val="32"/>
          <w:szCs w:val="32"/>
        </w:rPr>
        <w:t>或</w:t>
      </w:r>
      <w:proofErr w:type="gramStart"/>
      <w:r w:rsidRPr="005A730F">
        <w:rPr>
          <w:rFonts w:eastAsia="仿宋_GB2312"/>
          <w:sz w:val="32"/>
          <w:szCs w:val="32"/>
        </w:rPr>
        <w:t>磺脲</w:t>
      </w:r>
      <w:proofErr w:type="gramEnd"/>
      <w:r w:rsidRPr="005A730F">
        <w:rPr>
          <w:rFonts w:eastAsia="仿宋_GB2312"/>
          <w:sz w:val="32"/>
          <w:szCs w:val="32"/>
        </w:rPr>
        <w:t>类（</w:t>
      </w:r>
      <w:proofErr w:type="gramStart"/>
      <w:r w:rsidRPr="005A730F">
        <w:rPr>
          <w:rFonts w:eastAsia="仿宋_GB2312"/>
          <w:sz w:val="32"/>
          <w:szCs w:val="32"/>
        </w:rPr>
        <w:t>罗格列酮组</w:t>
      </w:r>
      <w:proofErr w:type="gramEnd"/>
      <w:r w:rsidRPr="005A730F">
        <w:rPr>
          <w:rFonts w:eastAsia="仿宋_GB2312"/>
          <w:sz w:val="32"/>
          <w:szCs w:val="32"/>
        </w:rPr>
        <w:t>n = 2220</w:t>
      </w:r>
      <w:r w:rsidRPr="005A730F">
        <w:rPr>
          <w:rFonts w:eastAsia="仿宋_GB2312"/>
          <w:sz w:val="32"/>
          <w:szCs w:val="32"/>
        </w:rPr>
        <w:t>）与二甲双</w:t>
      </w:r>
      <w:proofErr w:type="gramStart"/>
      <w:r w:rsidRPr="005A730F">
        <w:rPr>
          <w:rFonts w:eastAsia="仿宋_GB2312"/>
          <w:sz w:val="32"/>
          <w:szCs w:val="32"/>
        </w:rPr>
        <w:t>胍</w:t>
      </w:r>
      <w:proofErr w:type="gramEnd"/>
      <w:r w:rsidRPr="005A730F">
        <w:rPr>
          <w:rFonts w:eastAsia="仿宋_GB2312"/>
          <w:sz w:val="32"/>
          <w:szCs w:val="32"/>
        </w:rPr>
        <w:t>加</w:t>
      </w:r>
      <w:proofErr w:type="gramStart"/>
      <w:r w:rsidRPr="005A730F">
        <w:rPr>
          <w:rFonts w:eastAsia="仿宋_GB2312"/>
          <w:sz w:val="32"/>
          <w:szCs w:val="32"/>
        </w:rPr>
        <w:t>磺脲</w:t>
      </w:r>
      <w:proofErr w:type="gramEnd"/>
      <w:r w:rsidRPr="005A730F">
        <w:rPr>
          <w:rFonts w:eastAsia="仿宋_GB2312"/>
          <w:sz w:val="32"/>
          <w:szCs w:val="32"/>
        </w:rPr>
        <w:t>类（对照组</w:t>
      </w:r>
      <w:r w:rsidRPr="005A730F">
        <w:rPr>
          <w:rFonts w:eastAsia="仿宋_GB2312"/>
          <w:sz w:val="32"/>
          <w:szCs w:val="32"/>
        </w:rPr>
        <w:t>n = 2227</w:t>
      </w:r>
      <w:r w:rsidRPr="005A730F">
        <w:rPr>
          <w:rFonts w:eastAsia="仿宋_GB2312"/>
          <w:sz w:val="32"/>
          <w:szCs w:val="32"/>
        </w:rPr>
        <w:t>）进行对照研究。用</w:t>
      </w:r>
      <w:proofErr w:type="gramStart"/>
      <w:r w:rsidRPr="005A730F">
        <w:rPr>
          <w:rFonts w:eastAsia="仿宋_GB2312"/>
          <w:sz w:val="32"/>
          <w:szCs w:val="32"/>
        </w:rPr>
        <w:t>非劣效的</w:t>
      </w:r>
      <w:proofErr w:type="gramEnd"/>
      <w:r w:rsidRPr="005A730F">
        <w:rPr>
          <w:rFonts w:eastAsia="仿宋_GB2312"/>
          <w:sz w:val="32"/>
          <w:szCs w:val="32"/>
        </w:rPr>
        <w:t>统计方法，以心血管疾病住院或心血管死亡为主要终点，结果证明</w:t>
      </w:r>
      <w:proofErr w:type="gramStart"/>
      <w:r w:rsidRPr="005A730F">
        <w:rPr>
          <w:rFonts w:eastAsia="仿宋_GB2312"/>
          <w:sz w:val="32"/>
          <w:szCs w:val="32"/>
        </w:rPr>
        <w:t>罗格列酮组与</w:t>
      </w:r>
      <w:proofErr w:type="gramEnd"/>
      <w:r w:rsidRPr="005A730F">
        <w:rPr>
          <w:rFonts w:eastAsia="仿宋_GB2312"/>
          <w:sz w:val="32"/>
          <w:szCs w:val="32"/>
        </w:rPr>
        <w:t>对照组比较，在心血管事件发生率或死亡率上总体风险没有增加</w:t>
      </w:r>
      <w:r w:rsidRPr="005A730F">
        <w:rPr>
          <w:rFonts w:eastAsia="仿宋_GB2312"/>
          <w:sz w:val="32"/>
          <w:szCs w:val="32"/>
        </w:rPr>
        <w:t>[HR 0.99</w:t>
      </w:r>
      <w:r w:rsidRPr="005A730F">
        <w:rPr>
          <w:rFonts w:eastAsia="仿宋_GB2312"/>
          <w:sz w:val="32"/>
          <w:szCs w:val="32"/>
        </w:rPr>
        <w:t>（</w:t>
      </w:r>
      <w:r w:rsidRPr="005A730F">
        <w:rPr>
          <w:rFonts w:eastAsia="仿宋_GB2312"/>
          <w:sz w:val="32"/>
          <w:szCs w:val="32"/>
        </w:rPr>
        <w:t>95%CI</w:t>
      </w:r>
      <w:r w:rsidRPr="005A730F">
        <w:rPr>
          <w:rFonts w:eastAsia="仿宋_GB2312"/>
          <w:sz w:val="32"/>
          <w:szCs w:val="32"/>
        </w:rPr>
        <w:t>：</w:t>
      </w:r>
      <w:r w:rsidRPr="005A730F">
        <w:rPr>
          <w:rFonts w:eastAsia="仿宋_GB2312"/>
          <w:sz w:val="32"/>
          <w:szCs w:val="32"/>
        </w:rPr>
        <w:t>0.85</w:t>
      </w:r>
      <w:r w:rsidRPr="005A730F">
        <w:rPr>
          <w:rFonts w:eastAsia="仿宋_GB2312"/>
          <w:sz w:val="32"/>
          <w:szCs w:val="32"/>
        </w:rPr>
        <w:t>，</w:t>
      </w:r>
      <w:r w:rsidRPr="005A730F">
        <w:rPr>
          <w:rFonts w:eastAsia="仿宋_GB2312"/>
          <w:sz w:val="32"/>
          <w:szCs w:val="32"/>
        </w:rPr>
        <w:t>1.16</w:t>
      </w:r>
      <w:r w:rsidRPr="005A730F">
        <w:rPr>
          <w:rFonts w:eastAsia="仿宋_GB2312"/>
          <w:sz w:val="32"/>
          <w:szCs w:val="32"/>
        </w:rPr>
        <w:t>）</w:t>
      </w:r>
      <w:r w:rsidRPr="005A730F">
        <w:rPr>
          <w:rFonts w:eastAsia="仿宋_GB2312"/>
          <w:sz w:val="32"/>
          <w:szCs w:val="32"/>
        </w:rPr>
        <w:t>]</w:t>
      </w:r>
      <w:r w:rsidRPr="005A730F">
        <w:rPr>
          <w:rFonts w:eastAsia="仿宋_GB2312"/>
          <w:sz w:val="32"/>
          <w:szCs w:val="32"/>
        </w:rPr>
        <w:t>。总体死亡率与</w:t>
      </w:r>
      <w:r w:rsidRPr="005A730F">
        <w:rPr>
          <w:rFonts w:eastAsia="仿宋_GB2312"/>
          <w:sz w:val="32"/>
          <w:szCs w:val="32"/>
        </w:rPr>
        <w:t>MACE</w:t>
      </w:r>
      <w:r w:rsidRPr="005A730F">
        <w:rPr>
          <w:rFonts w:eastAsia="仿宋_GB2312"/>
          <w:sz w:val="32"/>
          <w:szCs w:val="32"/>
        </w:rPr>
        <w:t>的风险比与主要终点的风险一致，</w:t>
      </w:r>
      <w:r w:rsidRPr="005A730F">
        <w:rPr>
          <w:rFonts w:eastAsia="仿宋_GB2312"/>
          <w:sz w:val="32"/>
          <w:szCs w:val="32"/>
        </w:rPr>
        <w:t>95%CI</w:t>
      </w:r>
      <w:r w:rsidRPr="005A730F">
        <w:rPr>
          <w:rFonts w:eastAsia="仿宋_GB2312"/>
          <w:sz w:val="32"/>
          <w:szCs w:val="32"/>
        </w:rPr>
        <w:t>也同样排除了罗格列</w:t>
      </w:r>
      <w:proofErr w:type="gramStart"/>
      <w:r w:rsidRPr="005A730F">
        <w:rPr>
          <w:rFonts w:eastAsia="仿宋_GB2312"/>
          <w:sz w:val="32"/>
          <w:szCs w:val="32"/>
        </w:rPr>
        <w:t>酮组增加</w:t>
      </w:r>
      <w:proofErr w:type="gramEnd"/>
      <w:r w:rsidRPr="005A730F">
        <w:rPr>
          <w:rFonts w:eastAsia="仿宋_GB2312"/>
          <w:sz w:val="32"/>
          <w:szCs w:val="32"/>
        </w:rPr>
        <w:t>20%</w:t>
      </w:r>
      <w:r w:rsidRPr="005A730F">
        <w:rPr>
          <w:rFonts w:eastAsia="仿宋_GB2312"/>
          <w:sz w:val="32"/>
          <w:szCs w:val="32"/>
        </w:rPr>
        <w:t>风险的可能性。</w:t>
      </w:r>
      <w:r w:rsidRPr="005A730F">
        <w:rPr>
          <w:rFonts w:eastAsia="仿宋_GB2312"/>
          <w:sz w:val="32"/>
          <w:szCs w:val="32"/>
        </w:rPr>
        <w:t>MACE</w:t>
      </w:r>
      <w:r w:rsidRPr="005A730F">
        <w:rPr>
          <w:rFonts w:eastAsia="仿宋_GB2312"/>
          <w:sz w:val="32"/>
          <w:szCs w:val="32"/>
        </w:rPr>
        <w:t>的单项指标风险比为：脑卒中</w:t>
      </w:r>
      <w:r w:rsidRPr="005A730F">
        <w:rPr>
          <w:rFonts w:eastAsia="仿宋_GB2312"/>
          <w:sz w:val="32"/>
          <w:szCs w:val="32"/>
        </w:rPr>
        <w:t>0.72</w:t>
      </w:r>
      <w:r w:rsidRPr="005A730F">
        <w:rPr>
          <w:rFonts w:eastAsia="仿宋_GB2312"/>
          <w:sz w:val="32"/>
          <w:szCs w:val="32"/>
        </w:rPr>
        <w:t>（</w:t>
      </w:r>
      <w:r w:rsidRPr="005A730F">
        <w:rPr>
          <w:rFonts w:eastAsia="仿宋_GB2312"/>
          <w:sz w:val="32"/>
          <w:szCs w:val="32"/>
        </w:rPr>
        <w:t>95%CI</w:t>
      </w:r>
      <w:r w:rsidRPr="005A730F">
        <w:rPr>
          <w:rFonts w:eastAsia="仿宋_GB2312"/>
          <w:sz w:val="32"/>
          <w:szCs w:val="32"/>
        </w:rPr>
        <w:t>：</w:t>
      </w:r>
      <w:r w:rsidRPr="005A730F">
        <w:rPr>
          <w:rFonts w:eastAsia="仿宋_GB2312"/>
          <w:sz w:val="32"/>
          <w:szCs w:val="32"/>
        </w:rPr>
        <w:t>0.49</w:t>
      </w:r>
      <w:r w:rsidRPr="005A730F">
        <w:rPr>
          <w:rFonts w:eastAsia="仿宋_GB2312"/>
          <w:sz w:val="32"/>
          <w:szCs w:val="32"/>
        </w:rPr>
        <w:t>，</w:t>
      </w:r>
      <w:r w:rsidRPr="005A730F">
        <w:rPr>
          <w:rFonts w:eastAsia="仿宋_GB2312"/>
          <w:sz w:val="32"/>
          <w:szCs w:val="32"/>
        </w:rPr>
        <w:t>1.06</w:t>
      </w:r>
      <w:r w:rsidRPr="005A730F">
        <w:rPr>
          <w:rFonts w:eastAsia="仿宋_GB2312"/>
          <w:sz w:val="32"/>
          <w:szCs w:val="32"/>
        </w:rPr>
        <w:t>），心肌梗死</w:t>
      </w:r>
      <w:r w:rsidRPr="005A730F">
        <w:rPr>
          <w:rFonts w:eastAsia="仿宋_GB2312"/>
          <w:sz w:val="32"/>
          <w:szCs w:val="32"/>
        </w:rPr>
        <w:t>1.14</w:t>
      </w:r>
      <w:r w:rsidRPr="005A730F">
        <w:rPr>
          <w:rFonts w:eastAsia="仿宋_GB2312"/>
          <w:sz w:val="32"/>
          <w:szCs w:val="32"/>
        </w:rPr>
        <w:t>（</w:t>
      </w:r>
      <w:r w:rsidRPr="005A730F">
        <w:rPr>
          <w:rFonts w:eastAsia="仿宋_GB2312"/>
          <w:sz w:val="32"/>
          <w:szCs w:val="32"/>
        </w:rPr>
        <w:t>95%CI</w:t>
      </w:r>
      <w:r w:rsidRPr="005A730F">
        <w:rPr>
          <w:rFonts w:eastAsia="仿宋_GB2312"/>
          <w:sz w:val="32"/>
          <w:szCs w:val="32"/>
        </w:rPr>
        <w:t>：</w:t>
      </w:r>
      <w:r w:rsidRPr="005A730F">
        <w:rPr>
          <w:rFonts w:eastAsia="仿宋_GB2312"/>
          <w:sz w:val="32"/>
          <w:szCs w:val="32"/>
        </w:rPr>
        <w:t>0.80</w:t>
      </w:r>
      <w:r w:rsidRPr="005A730F">
        <w:rPr>
          <w:rFonts w:eastAsia="仿宋_GB2312"/>
          <w:sz w:val="32"/>
          <w:szCs w:val="32"/>
        </w:rPr>
        <w:t>，</w:t>
      </w:r>
      <w:r w:rsidRPr="005A730F">
        <w:rPr>
          <w:rFonts w:eastAsia="仿宋_GB2312"/>
          <w:sz w:val="32"/>
          <w:szCs w:val="32"/>
        </w:rPr>
        <w:t>1.63</w:t>
      </w:r>
      <w:r w:rsidRPr="005A730F">
        <w:rPr>
          <w:rFonts w:eastAsia="仿宋_GB2312"/>
          <w:sz w:val="32"/>
          <w:szCs w:val="32"/>
        </w:rPr>
        <w:t>）和心血管死亡</w:t>
      </w:r>
      <w:r w:rsidRPr="005A730F">
        <w:rPr>
          <w:rFonts w:eastAsia="仿宋_GB2312"/>
          <w:sz w:val="32"/>
          <w:szCs w:val="32"/>
        </w:rPr>
        <w:t>0.84</w:t>
      </w:r>
      <w:r w:rsidRPr="005A730F">
        <w:rPr>
          <w:rFonts w:eastAsia="仿宋_GB2312"/>
          <w:sz w:val="32"/>
          <w:szCs w:val="32"/>
        </w:rPr>
        <w:t>（</w:t>
      </w:r>
      <w:r w:rsidRPr="005A730F">
        <w:rPr>
          <w:rFonts w:eastAsia="仿宋_GB2312"/>
          <w:sz w:val="32"/>
          <w:szCs w:val="32"/>
        </w:rPr>
        <w:t>95%CI</w:t>
      </w:r>
      <w:r w:rsidRPr="005A730F">
        <w:rPr>
          <w:rFonts w:eastAsia="仿宋_GB2312"/>
          <w:sz w:val="32"/>
          <w:szCs w:val="32"/>
        </w:rPr>
        <w:t>：</w:t>
      </w:r>
      <w:r w:rsidRPr="005A730F">
        <w:rPr>
          <w:rFonts w:eastAsia="仿宋_GB2312"/>
          <w:sz w:val="32"/>
          <w:szCs w:val="32"/>
        </w:rPr>
        <w:t>0.59</w:t>
      </w:r>
      <w:r w:rsidRPr="005A730F">
        <w:rPr>
          <w:rFonts w:eastAsia="仿宋_GB2312"/>
          <w:sz w:val="32"/>
          <w:szCs w:val="32"/>
        </w:rPr>
        <w:t>，</w:t>
      </w:r>
      <w:r w:rsidRPr="005A730F">
        <w:rPr>
          <w:rFonts w:eastAsia="仿宋_GB2312"/>
          <w:sz w:val="32"/>
          <w:szCs w:val="32"/>
        </w:rPr>
        <w:t>1.18</w:t>
      </w:r>
      <w:r w:rsidRPr="005A730F">
        <w:rPr>
          <w:rFonts w:eastAsia="仿宋_GB2312"/>
          <w:sz w:val="32"/>
          <w:szCs w:val="32"/>
        </w:rPr>
        <w:t>）。</w:t>
      </w:r>
    </w:p>
    <w:p w:rsidR="0030481B" w:rsidRPr="005A730F" w:rsidRDefault="0030481B" w:rsidP="0030481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A730F">
        <w:rPr>
          <w:rFonts w:eastAsia="仿宋_GB2312"/>
          <w:sz w:val="32"/>
          <w:szCs w:val="32"/>
        </w:rPr>
        <w:lastRenderedPageBreak/>
        <w:t>RECORD</w:t>
      </w:r>
      <w:r w:rsidRPr="005A730F">
        <w:rPr>
          <w:rFonts w:eastAsia="仿宋_GB2312"/>
          <w:sz w:val="32"/>
          <w:szCs w:val="32"/>
        </w:rPr>
        <w:t>的结果与早期的</w:t>
      </w:r>
      <w:r w:rsidRPr="005A730F">
        <w:rPr>
          <w:rFonts w:eastAsia="仿宋_GB2312"/>
          <w:sz w:val="32"/>
          <w:szCs w:val="32"/>
        </w:rPr>
        <w:t>2</w:t>
      </w:r>
      <w:r w:rsidRPr="005A730F">
        <w:rPr>
          <w:rFonts w:eastAsia="仿宋_GB2312"/>
          <w:sz w:val="32"/>
          <w:szCs w:val="32"/>
        </w:rPr>
        <w:t>项长期、前瞻性、随机对照研究结果一致（每项试验</w:t>
      </w:r>
      <w:r w:rsidRPr="005A730F">
        <w:rPr>
          <w:rFonts w:eastAsia="仿宋_GB2312"/>
          <w:sz w:val="32"/>
          <w:szCs w:val="32"/>
        </w:rPr>
        <w:t>&gt;3</w:t>
      </w:r>
      <w:r w:rsidRPr="005A730F">
        <w:rPr>
          <w:rFonts w:eastAsia="仿宋_GB2312"/>
          <w:sz w:val="32"/>
          <w:szCs w:val="32"/>
        </w:rPr>
        <w:t>年；总计</w:t>
      </w:r>
      <w:r w:rsidRPr="005A730F">
        <w:rPr>
          <w:rFonts w:eastAsia="仿宋_GB2312"/>
          <w:sz w:val="32"/>
          <w:szCs w:val="32"/>
        </w:rPr>
        <w:t>9620</w:t>
      </w:r>
      <w:r w:rsidRPr="005A730F">
        <w:rPr>
          <w:rFonts w:eastAsia="仿宋_GB2312"/>
          <w:sz w:val="32"/>
          <w:szCs w:val="32"/>
        </w:rPr>
        <w:t>例患者）（见图</w:t>
      </w:r>
      <w:r w:rsidRPr="005A730F">
        <w:rPr>
          <w:rFonts w:eastAsia="仿宋_GB2312"/>
          <w:sz w:val="32"/>
          <w:szCs w:val="32"/>
        </w:rPr>
        <w:t>1</w:t>
      </w:r>
      <w:r w:rsidRPr="005A730F">
        <w:rPr>
          <w:rFonts w:eastAsia="仿宋_GB2312"/>
          <w:sz w:val="32"/>
          <w:szCs w:val="32"/>
        </w:rPr>
        <w:t>）。在糖耐量异常患者试验（</w:t>
      </w:r>
      <w:r w:rsidRPr="005A730F">
        <w:rPr>
          <w:rFonts w:eastAsia="仿宋_GB2312"/>
          <w:sz w:val="32"/>
          <w:szCs w:val="32"/>
        </w:rPr>
        <w:t>DREAM</w:t>
      </w:r>
      <w:r w:rsidRPr="005A730F">
        <w:rPr>
          <w:rFonts w:eastAsia="仿宋_GB2312"/>
          <w:sz w:val="32"/>
          <w:szCs w:val="32"/>
        </w:rPr>
        <w:t>试验）中，虽然受试者被随机分配到罗格列</w:t>
      </w:r>
      <w:proofErr w:type="gramStart"/>
      <w:r w:rsidRPr="005A730F">
        <w:rPr>
          <w:rFonts w:eastAsia="仿宋_GB2312"/>
          <w:sz w:val="32"/>
          <w:szCs w:val="32"/>
        </w:rPr>
        <w:t>酮</w:t>
      </w:r>
      <w:proofErr w:type="gramEnd"/>
      <w:r w:rsidRPr="005A730F">
        <w:rPr>
          <w:rFonts w:eastAsia="仿宋_GB2312"/>
          <w:sz w:val="32"/>
          <w:szCs w:val="32"/>
        </w:rPr>
        <w:t>联合雷米普利组比随机分配到单用雷米普利组心血管事件发生率高，但</w:t>
      </w:r>
      <w:proofErr w:type="gramStart"/>
      <w:r w:rsidRPr="005A730F">
        <w:rPr>
          <w:rFonts w:eastAsia="仿宋_GB2312"/>
          <w:sz w:val="32"/>
          <w:szCs w:val="32"/>
        </w:rPr>
        <w:t>罗格列酮组和</w:t>
      </w:r>
      <w:proofErr w:type="gramEnd"/>
      <w:r w:rsidRPr="005A730F">
        <w:rPr>
          <w:rFonts w:eastAsia="仿宋_GB2312"/>
          <w:sz w:val="32"/>
          <w:szCs w:val="32"/>
        </w:rPr>
        <w:t>安慰剂组相比，在</w:t>
      </w:r>
      <w:r w:rsidRPr="005A730F">
        <w:rPr>
          <w:rFonts w:eastAsia="仿宋_GB2312"/>
          <w:sz w:val="32"/>
          <w:szCs w:val="32"/>
        </w:rPr>
        <w:t>MACE</w:t>
      </w:r>
      <w:r w:rsidRPr="005A730F">
        <w:rPr>
          <w:rFonts w:eastAsia="仿宋_GB2312"/>
          <w:sz w:val="32"/>
          <w:szCs w:val="32"/>
        </w:rPr>
        <w:t>和单项指标上均无显著差异。对口服单药治疗（</w:t>
      </w:r>
      <w:r w:rsidRPr="005A730F">
        <w:rPr>
          <w:rFonts w:eastAsia="仿宋_GB2312"/>
          <w:sz w:val="32"/>
          <w:szCs w:val="32"/>
        </w:rPr>
        <w:t>ADOPT</w:t>
      </w:r>
      <w:r w:rsidRPr="005A730F">
        <w:rPr>
          <w:rFonts w:eastAsia="仿宋_GB2312"/>
          <w:sz w:val="32"/>
          <w:szCs w:val="32"/>
        </w:rPr>
        <w:t>试验）的</w:t>
      </w:r>
      <w:r w:rsidRPr="005A730F">
        <w:rPr>
          <w:rFonts w:eastAsia="仿宋_GB2312"/>
          <w:sz w:val="32"/>
          <w:szCs w:val="32"/>
        </w:rPr>
        <w:t>2</w:t>
      </w:r>
      <w:r w:rsidRPr="005A730F">
        <w:rPr>
          <w:rFonts w:eastAsia="仿宋_GB2312"/>
          <w:sz w:val="32"/>
          <w:szCs w:val="32"/>
        </w:rPr>
        <w:t>型糖尿病患者，就</w:t>
      </w:r>
      <w:r w:rsidRPr="005A730F">
        <w:rPr>
          <w:rFonts w:eastAsia="仿宋_GB2312"/>
          <w:sz w:val="32"/>
          <w:szCs w:val="32"/>
        </w:rPr>
        <w:t>MACE</w:t>
      </w:r>
      <w:r w:rsidRPr="005A730F">
        <w:rPr>
          <w:rFonts w:eastAsia="仿宋_GB2312"/>
          <w:sz w:val="32"/>
          <w:szCs w:val="32"/>
        </w:rPr>
        <w:t>指标，罗格列酮与二甲双</w:t>
      </w:r>
      <w:proofErr w:type="gramStart"/>
      <w:r w:rsidRPr="005A730F">
        <w:rPr>
          <w:rFonts w:eastAsia="仿宋_GB2312"/>
          <w:sz w:val="32"/>
          <w:szCs w:val="32"/>
        </w:rPr>
        <w:t>胍</w:t>
      </w:r>
      <w:proofErr w:type="gramEnd"/>
      <w:r w:rsidRPr="005A730F">
        <w:rPr>
          <w:rFonts w:eastAsia="仿宋_GB2312"/>
          <w:sz w:val="32"/>
          <w:szCs w:val="32"/>
        </w:rPr>
        <w:t>或</w:t>
      </w:r>
      <w:proofErr w:type="gramStart"/>
      <w:r w:rsidRPr="005A730F">
        <w:rPr>
          <w:rFonts w:eastAsia="仿宋_GB2312"/>
          <w:sz w:val="32"/>
          <w:szCs w:val="32"/>
        </w:rPr>
        <w:t>磺脲</w:t>
      </w:r>
      <w:proofErr w:type="gramEnd"/>
      <w:r w:rsidRPr="005A730F">
        <w:rPr>
          <w:rFonts w:eastAsia="仿宋_GB2312"/>
          <w:sz w:val="32"/>
          <w:szCs w:val="32"/>
        </w:rPr>
        <w:t>类组之间观察到的差异无统计学意义。</w:t>
      </w:r>
    </w:p>
    <w:p w:rsidR="0030481B" w:rsidRPr="005A730F" w:rsidRDefault="0030481B" w:rsidP="0030481B">
      <w:pPr>
        <w:spacing w:line="340" w:lineRule="exact"/>
        <w:ind w:firstLineChars="200" w:firstLine="640"/>
        <w:rPr>
          <w:rFonts w:eastAsia="仿宋_GB2312"/>
          <w:sz w:val="32"/>
          <w:szCs w:val="32"/>
        </w:rPr>
      </w:pPr>
    </w:p>
    <w:p w:rsidR="0030481B" w:rsidRPr="005A730F" w:rsidRDefault="0030481B" w:rsidP="0030481B">
      <w:pPr>
        <w:tabs>
          <w:tab w:val="left" w:pos="1418"/>
        </w:tabs>
        <w:adjustRightInd w:val="0"/>
        <w:snapToGrid w:val="0"/>
        <w:spacing w:line="360" w:lineRule="auto"/>
        <w:jc w:val="left"/>
        <w:rPr>
          <w:szCs w:val="21"/>
        </w:rPr>
      </w:pPr>
      <w:r w:rsidRPr="005A730F">
        <w:rPr>
          <w:szCs w:val="21"/>
        </w:rPr>
        <w:t>图</w:t>
      </w:r>
      <w:r w:rsidRPr="005A730F">
        <w:rPr>
          <w:szCs w:val="21"/>
        </w:rPr>
        <w:t xml:space="preserve">1 </w:t>
      </w:r>
      <w:r w:rsidRPr="005A730F">
        <w:rPr>
          <w:szCs w:val="21"/>
        </w:rPr>
        <w:t>长期</w:t>
      </w:r>
      <w:r w:rsidRPr="005A730F">
        <w:rPr>
          <w:rFonts w:hint="eastAsia"/>
          <w:szCs w:val="21"/>
        </w:rPr>
        <w:t>临床</w:t>
      </w:r>
      <w:r w:rsidRPr="005A730F">
        <w:rPr>
          <w:szCs w:val="21"/>
        </w:rPr>
        <w:t>试验</w:t>
      </w:r>
      <w:r w:rsidRPr="005A730F">
        <w:rPr>
          <w:rFonts w:hint="eastAsia"/>
          <w:szCs w:val="21"/>
        </w:rPr>
        <w:t>中马来酸</w:t>
      </w:r>
      <w:proofErr w:type="gramStart"/>
      <w:r w:rsidRPr="005A730F">
        <w:rPr>
          <w:rFonts w:hint="eastAsia"/>
          <w:szCs w:val="21"/>
        </w:rPr>
        <w:t>罗格列酮组</w:t>
      </w:r>
      <w:r w:rsidRPr="005A730F">
        <w:rPr>
          <w:szCs w:val="21"/>
        </w:rPr>
        <w:t>与</w:t>
      </w:r>
      <w:proofErr w:type="gramEnd"/>
      <w:r w:rsidRPr="005A730F">
        <w:rPr>
          <w:szCs w:val="21"/>
        </w:rPr>
        <w:t>对照组</w:t>
      </w:r>
      <w:r w:rsidRPr="005A730F">
        <w:rPr>
          <w:rFonts w:hint="eastAsia"/>
          <w:szCs w:val="21"/>
        </w:rPr>
        <w:t>的</w:t>
      </w:r>
      <w:r w:rsidRPr="005A730F">
        <w:rPr>
          <w:rFonts w:hint="eastAsia"/>
          <w:szCs w:val="21"/>
        </w:rPr>
        <w:t>MACE</w:t>
      </w:r>
      <w:r w:rsidRPr="005A730F">
        <w:rPr>
          <w:rFonts w:hint="eastAsia"/>
          <w:szCs w:val="21"/>
        </w:rPr>
        <w:t>、</w:t>
      </w:r>
      <w:r w:rsidRPr="005A730F">
        <w:rPr>
          <w:szCs w:val="21"/>
        </w:rPr>
        <w:t>心肌梗死和总</w:t>
      </w:r>
      <w:r w:rsidRPr="005A730F">
        <w:rPr>
          <w:rFonts w:hint="eastAsia"/>
          <w:szCs w:val="21"/>
        </w:rPr>
        <w:t>体</w:t>
      </w:r>
      <w:r w:rsidRPr="005A730F">
        <w:rPr>
          <w:szCs w:val="21"/>
        </w:rPr>
        <w:t>死亡率</w:t>
      </w:r>
      <w:r w:rsidRPr="005A730F">
        <w:rPr>
          <w:rFonts w:hint="eastAsia"/>
          <w:szCs w:val="21"/>
        </w:rPr>
        <w:t>的风险比</w:t>
      </w:r>
    </w:p>
    <w:p w:rsidR="0030481B" w:rsidRPr="005A730F" w:rsidRDefault="0030481B" w:rsidP="0030481B">
      <w:pPr>
        <w:spacing w:line="360" w:lineRule="auto"/>
        <w:ind w:firstLine="560"/>
        <w:jc w:val="center"/>
        <w:rPr>
          <w:rFonts w:ascii="仿宋_GB2312" w:eastAsia="仿宋_GB2312"/>
          <w:noProof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inline distT="0" distB="0" distL="0" distR="0" wp14:anchorId="73F845A5" wp14:editId="1694C407">
            <wp:extent cx="4524375" cy="2476500"/>
            <wp:effectExtent l="0" t="0" r="9525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81B" w:rsidRPr="005A730F" w:rsidRDefault="0030481B" w:rsidP="0030481B">
      <w:pPr>
        <w:spacing w:line="360" w:lineRule="auto"/>
        <w:ind w:firstLine="560"/>
        <w:jc w:val="center"/>
        <w:rPr>
          <w:rFonts w:ascii="仿宋_GB2312" w:eastAsia="仿宋_GB2312"/>
          <w:sz w:val="28"/>
          <w:szCs w:val="28"/>
        </w:rPr>
      </w:pPr>
    </w:p>
    <w:p w:rsidR="0030481B" w:rsidRPr="005A730F" w:rsidRDefault="0030481B" w:rsidP="0030481B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5A730F">
        <w:rPr>
          <w:rFonts w:eastAsia="仿宋_GB2312"/>
          <w:b/>
          <w:sz w:val="32"/>
          <w:szCs w:val="32"/>
        </w:rPr>
        <w:t>52</w:t>
      </w:r>
      <w:r w:rsidRPr="005A730F">
        <w:rPr>
          <w:rFonts w:eastAsia="仿宋_GB2312"/>
          <w:b/>
          <w:sz w:val="32"/>
          <w:szCs w:val="32"/>
        </w:rPr>
        <w:t>项临床试验的心血管事件：</w:t>
      </w:r>
      <w:r w:rsidRPr="005A730F">
        <w:rPr>
          <w:rFonts w:eastAsia="仿宋_GB2312"/>
          <w:sz w:val="32"/>
          <w:szCs w:val="32"/>
        </w:rPr>
        <w:t>在</w:t>
      </w:r>
      <w:r w:rsidRPr="005A730F">
        <w:rPr>
          <w:rFonts w:eastAsia="仿宋_GB2312"/>
          <w:sz w:val="32"/>
          <w:szCs w:val="32"/>
        </w:rPr>
        <w:t>52</w:t>
      </w:r>
      <w:r w:rsidRPr="005A730F">
        <w:rPr>
          <w:rFonts w:eastAsia="仿宋_GB2312"/>
          <w:sz w:val="32"/>
          <w:szCs w:val="32"/>
        </w:rPr>
        <w:t>项随机、双盲、对照临床试验的荟萃分析（平均时间</w:t>
      </w:r>
      <w:r w:rsidRPr="005A730F">
        <w:rPr>
          <w:rFonts w:eastAsia="仿宋_GB2312"/>
          <w:sz w:val="32"/>
          <w:szCs w:val="32"/>
        </w:rPr>
        <w:t>6</w:t>
      </w:r>
      <w:r w:rsidRPr="005A730F">
        <w:rPr>
          <w:rFonts w:eastAsia="仿宋_GB2312"/>
          <w:sz w:val="32"/>
          <w:szCs w:val="32"/>
        </w:rPr>
        <w:t>个月）中，显示罗格列酮与合并后的对照组相比，心肌梗死的发生风险升高有统计学意义</w:t>
      </w:r>
      <w:r w:rsidRPr="005A730F">
        <w:rPr>
          <w:rFonts w:eastAsia="仿宋_GB2312"/>
          <w:sz w:val="32"/>
          <w:szCs w:val="32"/>
        </w:rPr>
        <w:t>[0.4%</w:t>
      </w:r>
      <w:r w:rsidRPr="005A730F">
        <w:rPr>
          <w:rFonts w:eastAsia="仿宋_GB2312"/>
          <w:sz w:val="32"/>
          <w:szCs w:val="32"/>
        </w:rPr>
        <w:t>与</w:t>
      </w:r>
      <w:r w:rsidRPr="005A730F">
        <w:rPr>
          <w:rFonts w:eastAsia="仿宋_GB2312"/>
          <w:sz w:val="32"/>
          <w:szCs w:val="32"/>
        </w:rPr>
        <w:t>0.3%</w:t>
      </w:r>
      <w:r w:rsidRPr="005A730F">
        <w:rPr>
          <w:rFonts w:eastAsia="仿宋_GB2312"/>
          <w:sz w:val="32"/>
          <w:szCs w:val="32"/>
        </w:rPr>
        <w:t>；</w:t>
      </w:r>
      <w:r w:rsidRPr="005A730F">
        <w:rPr>
          <w:rFonts w:eastAsia="仿宋_GB2312"/>
          <w:sz w:val="32"/>
          <w:szCs w:val="32"/>
        </w:rPr>
        <w:t>OR 1.8</w:t>
      </w:r>
      <w:r w:rsidRPr="005A730F">
        <w:rPr>
          <w:rFonts w:eastAsia="仿宋_GB2312"/>
          <w:sz w:val="32"/>
          <w:szCs w:val="32"/>
        </w:rPr>
        <w:t>（</w:t>
      </w:r>
      <w:r w:rsidRPr="005A730F">
        <w:rPr>
          <w:rFonts w:eastAsia="仿宋_GB2312"/>
          <w:sz w:val="32"/>
          <w:szCs w:val="32"/>
        </w:rPr>
        <w:t>95%CI</w:t>
      </w:r>
      <w:r w:rsidRPr="005A730F">
        <w:rPr>
          <w:rFonts w:eastAsia="仿宋_GB2312"/>
          <w:sz w:val="32"/>
          <w:szCs w:val="32"/>
        </w:rPr>
        <w:t>：</w:t>
      </w:r>
      <w:r w:rsidRPr="005A730F">
        <w:rPr>
          <w:rFonts w:eastAsia="仿宋_GB2312"/>
          <w:sz w:val="32"/>
          <w:szCs w:val="32"/>
        </w:rPr>
        <w:t>1.03</w:t>
      </w:r>
      <w:r w:rsidRPr="005A730F">
        <w:rPr>
          <w:rFonts w:eastAsia="仿宋_GB2312"/>
          <w:sz w:val="32"/>
          <w:szCs w:val="32"/>
        </w:rPr>
        <w:t>，</w:t>
      </w:r>
      <w:r w:rsidRPr="005A730F">
        <w:rPr>
          <w:rFonts w:eastAsia="仿宋_GB2312"/>
          <w:sz w:val="32"/>
          <w:szCs w:val="32"/>
        </w:rPr>
        <w:t>3.25</w:t>
      </w:r>
      <w:r w:rsidRPr="005A730F">
        <w:rPr>
          <w:rFonts w:eastAsia="仿宋_GB2312"/>
          <w:sz w:val="32"/>
          <w:szCs w:val="32"/>
        </w:rPr>
        <w:t>）</w:t>
      </w:r>
      <w:r w:rsidRPr="005A730F">
        <w:rPr>
          <w:rFonts w:eastAsia="仿宋_GB2312"/>
          <w:sz w:val="32"/>
          <w:szCs w:val="32"/>
        </w:rPr>
        <w:t>]</w:t>
      </w:r>
      <w:r w:rsidRPr="005A730F">
        <w:rPr>
          <w:rFonts w:eastAsia="仿宋_GB2312"/>
          <w:sz w:val="32"/>
          <w:szCs w:val="32"/>
        </w:rPr>
        <w:t>，而在复合终点（</w:t>
      </w:r>
      <w:r w:rsidRPr="005A730F">
        <w:rPr>
          <w:rFonts w:eastAsia="仿宋_GB2312"/>
          <w:sz w:val="32"/>
          <w:szCs w:val="32"/>
        </w:rPr>
        <w:t>MACE</w:t>
      </w:r>
      <w:r w:rsidRPr="005A730F">
        <w:rPr>
          <w:rFonts w:eastAsia="仿宋_GB2312"/>
          <w:sz w:val="32"/>
          <w:szCs w:val="32"/>
        </w:rPr>
        <w:t>）上没有统计学意义（</w:t>
      </w:r>
      <w:r w:rsidRPr="005A730F">
        <w:rPr>
          <w:rFonts w:eastAsia="仿宋_GB2312"/>
          <w:sz w:val="32"/>
          <w:szCs w:val="32"/>
        </w:rPr>
        <w:t>1.44</w:t>
      </w:r>
      <w:r w:rsidRPr="005A730F">
        <w:rPr>
          <w:rFonts w:eastAsia="仿宋_GB2312"/>
          <w:sz w:val="32"/>
          <w:szCs w:val="32"/>
        </w:rPr>
        <w:t>，</w:t>
      </w:r>
      <w:r w:rsidRPr="005A730F">
        <w:rPr>
          <w:rFonts w:eastAsia="仿宋_GB2312"/>
          <w:sz w:val="32"/>
          <w:szCs w:val="32"/>
        </w:rPr>
        <w:t>95%CI</w:t>
      </w:r>
      <w:r w:rsidRPr="005A730F">
        <w:rPr>
          <w:rFonts w:eastAsia="仿宋_GB2312"/>
          <w:sz w:val="32"/>
          <w:szCs w:val="32"/>
        </w:rPr>
        <w:t>：</w:t>
      </w:r>
      <w:r w:rsidRPr="005A730F">
        <w:rPr>
          <w:rFonts w:eastAsia="仿宋_GB2312"/>
          <w:sz w:val="32"/>
          <w:szCs w:val="32"/>
        </w:rPr>
        <w:t>0.95</w:t>
      </w:r>
      <w:r w:rsidRPr="005A730F">
        <w:rPr>
          <w:rFonts w:eastAsia="仿宋_GB2312"/>
          <w:sz w:val="32"/>
          <w:szCs w:val="32"/>
        </w:rPr>
        <w:t>，</w:t>
      </w:r>
      <w:r w:rsidRPr="005A730F">
        <w:rPr>
          <w:rFonts w:eastAsia="仿宋_GB2312"/>
          <w:sz w:val="32"/>
          <w:szCs w:val="32"/>
        </w:rPr>
        <w:lastRenderedPageBreak/>
        <w:t>2.20</w:t>
      </w:r>
      <w:r w:rsidRPr="005A730F">
        <w:rPr>
          <w:rFonts w:eastAsia="仿宋_GB2312"/>
          <w:sz w:val="32"/>
          <w:szCs w:val="32"/>
        </w:rPr>
        <w:t>）。在安慰剂对照的试验中，罗格列</w:t>
      </w:r>
      <w:proofErr w:type="gramStart"/>
      <w:r w:rsidRPr="005A730F">
        <w:rPr>
          <w:rFonts w:eastAsia="仿宋_GB2312"/>
          <w:sz w:val="32"/>
          <w:szCs w:val="32"/>
        </w:rPr>
        <w:t>酮</w:t>
      </w:r>
      <w:proofErr w:type="gramEnd"/>
      <w:r w:rsidRPr="005A730F">
        <w:rPr>
          <w:rFonts w:eastAsia="仿宋_GB2312"/>
          <w:sz w:val="32"/>
          <w:szCs w:val="32"/>
        </w:rPr>
        <w:t>增加了心肌梗死的风险</w:t>
      </w:r>
      <w:r w:rsidRPr="005A730F">
        <w:rPr>
          <w:rFonts w:eastAsia="仿宋_GB2312"/>
          <w:sz w:val="32"/>
          <w:szCs w:val="32"/>
        </w:rPr>
        <w:t>[ 0.4%</w:t>
      </w:r>
      <w:r w:rsidRPr="005A730F">
        <w:rPr>
          <w:rFonts w:eastAsia="仿宋_GB2312"/>
          <w:sz w:val="32"/>
          <w:szCs w:val="32"/>
        </w:rPr>
        <w:t>和</w:t>
      </w:r>
      <w:r w:rsidRPr="005A730F">
        <w:rPr>
          <w:rFonts w:eastAsia="仿宋_GB2312"/>
          <w:sz w:val="32"/>
          <w:szCs w:val="32"/>
        </w:rPr>
        <w:t>0.2%</w:t>
      </w:r>
      <w:r w:rsidRPr="005A730F">
        <w:rPr>
          <w:rFonts w:eastAsia="仿宋_GB2312"/>
          <w:sz w:val="32"/>
          <w:szCs w:val="32"/>
        </w:rPr>
        <w:t>，</w:t>
      </w:r>
      <w:r w:rsidRPr="005A730F">
        <w:rPr>
          <w:rFonts w:eastAsia="仿宋_GB2312"/>
          <w:sz w:val="32"/>
          <w:szCs w:val="32"/>
        </w:rPr>
        <w:t>OR 2.23</w:t>
      </w:r>
      <w:r w:rsidRPr="005A730F">
        <w:rPr>
          <w:rFonts w:eastAsia="仿宋_GB2312"/>
          <w:sz w:val="32"/>
          <w:szCs w:val="32"/>
        </w:rPr>
        <w:t>（</w:t>
      </w:r>
      <w:r w:rsidRPr="005A730F">
        <w:rPr>
          <w:rFonts w:eastAsia="仿宋_GB2312"/>
          <w:sz w:val="32"/>
          <w:szCs w:val="32"/>
        </w:rPr>
        <w:t>95%CI</w:t>
      </w:r>
      <w:r w:rsidRPr="005A730F">
        <w:rPr>
          <w:rFonts w:eastAsia="仿宋_GB2312"/>
          <w:sz w:val="32"/>
          <w:szCs w:val="32"/>
        </w:rPr>
        <w:t>：</w:t>
      </w:r>
      <w:r w:rsidRPr="005A730F">
        <w:rPr>
          <w:rFonts w:eastAsia="仿宋_GB2312"/>
          <w:sz w:val="32"/>
          <w:szCs w:val="32"/>
        </w:rPr>
        <w:t>1.14</w:t>
      </w:r>
      <w:r w:rsidRPr="005A730F">
        <w:rPr>
          <w:rFonts w:eastAsia="仿宋_GB2312"/>
          <w:sz w:val="32"/>
          <w:szCs w:val="32"/>
        </w:rPr>
        <w:t>，</w:t>
      </w:r>
      <w:r w:rsidRPr="005A730F">
        <w:rPr>
          <w:rFonts w:eastAsia="仿宋_GB2312"/>
          <w:sz w:val="32"/>
          <w:szCs w:val="32"/>
        </w:rPr>
        <w:t>4.64</w:t>
      </w:r>
      <w:r w:rsidRPr="005A730F">
        <w:rPr>
          <w:rFonts w:eastAsia="仿宋_GB2312"/>
          <w:sz w:val="32"/>
          <w:szCs w:val="32"/>
        </w:rPr>
        <w:t>）</w:t>
      </w:r>
      <w:r w:rsidRPr="005A730F">
        <w:rPr>
          <w:rFonts w:eastAsia="仿宋_GB2312"/>
          <w:sz w:val="32"/>
          <w:szCs w:val="32"/>
        </w:rPr>
        <w:t>]</w:t>
      </w:r>
      <w:r w:rsidRPr="005A730F">
        <w:rPr>
          <w:rFonts w:eastAsia="仿宋_GB2312"/>
          <w:sz w:val="32"/>
          <w:szCs w:val="32"/>
        </w:rPr>
        <w:t>，但不增加复合终点事件风险</w:t>
      </w:r>
      <w:r w:rsidRPr="005A730F">
        <w:rPr>
          <w:rFonts w:eastAsia="仿宋_GB2312"/>
          <w:sz w:val="32"/>
          <w:szCs w:val="32"/>
        </w:rPr>
        <w:t>[ 0.7%</w:t>
      </w:r>
      <w:r w:rsidRPr="005A730F">
        <w:rPr>
          <w:rFonts w:eastAsia="仿宋_GB2312"/>
          <w:sz w:val="32"/>
          <w:szCs w:val="32"/>
        </w:rPr>
        <w:t>和</w:t>
      </w:r>
      <w:r w:rsidRPr="005A730F">
        <w:rPr>
          <w:rFonts w:eastAsia="仿宋_GB2312"/>
          <w:sz w:val="32"/>
          <w:szCs w:val="32"/>
        </w:rPr>
        <w:t>0.5%</w:t>
      </w:r>
      <w:r w:rsidRPr="005A730F">
        <w:rPr>
          <w:rFonts w:eastAsia="仿宋_GB2312"/>
          <w:sz w:val="32"/>
          <w:szCs w:val="32"/>
        </w:rPr>
        <w:t>，</w:t>
      </w:r>
      <w:r w:rsidRPr="005A730F">
        <w:rPr>
          <w:rFonts w:eastAsia="仿宋_GB2312"/>
          <w:sz w:val="32"/>
          <w:szCs w:val="32"/>
        </w:rPr>
        <w:t>OR 1.53</w:t>
      </w:r>
      <w:r w:rsidRPr="005A730F">
        <w:rPr>
          <w:rFonts w:eastAsia="仿宋_GB2312"/>
          <w:sz w:val="32"/>
          <w:szCs w:val="32"/>
        </w:rPr>
        <w:t>（</w:t>
      </w:r>
      <w:r w:rsidRPr="005A730F">
        <w:rPr>
          <w:rFonts w:eastAsia="仿宋_GB2312"/>
          <w:sz w:val="32"/>
          <w:szCs w:val="32"/>
        </w:rPr>
        <w:t>95%CI</w:t>
      </w:r>
      <w:r w:rsidRPr="005A730F">
        <w:rPr>
          <w:rFonts w:eastAsia="仿宋_GB2312"/>
          <w:sz w:val="32"/>
          <w:szCs w:val="32"/>
        </w:rPr>
        <w:t>：</w:t>
      </w:r>
      <w:r w:rsidRPr="005A730F">
        <w:rPr>
          <w:rFonts w:eastAsia="仿宋_GB2312"/>
          <w:sz w:val="32"/>
          <w:szCs w:val="32"/>
        </w:rPr>
        <w:t>0.94</w:t>
      </w:r>
      <w:r w:rsidRPr="005A730F">
        <w:rPr>
          <w:rFonts w:eastAsia="仿宋_GB2312"/>
          <w:sz w:val="32"/>
          <w:szCs w:val="32"/>
        </w:rPr>
        <w:t>，</w:t>
      </w:r>
      <w:r w:rsidRPr="005A730F">
        <w:rPr>
          <w:rFonts w:eastAsia="仿宋_GB2312"/>
          <w:sz w:val="32"/>
          <w:szCs w:val="32"/>
        </w:rPr>
        <w:t>2.54</w:t>
      </w:r>
      <w:r w:rsidRPr="005A730F">
        <w:rPr>
          <w:rFonts w:eastAsia="仿宋_GB2312"/>
          <w:sz w:val="32"/>
          <w:szCs w:val="32"/>
        </w:rPr>
        <w:t>）</w:t>
      </w:r>
      <w:r w:rsidRPr="005A730F">
        <w:rPr>
          <w:rFonts w:eastAsia="仿宋_GB2312"/>
          <w:sz w:val="32"/>
          <w:szCs w:val="32"/>
        </w:rPr>
        <w:t>]</w:t>
      </w:r>
      <w:r w:rsidRPr="005A730F">
        <w:rPr>
          <w:rFonts w:eastAsia="仿宋_GB2312"/>
          <w:sz w:val="32"/>
          <w:szCs w:val="32"/>
        </w:rPr>
        <w:t>。在阳性对照试验中，罗格列</w:t>
      </w:r>
      <w:proofErr w:type="gramStart"/>
      <w:r w:rsidRPr="005A730F">
        <w:rPr>
          <w:rFonts w:eastAsia="仿宋_GB2312"/>
          <w:sz w:val="32"/>
          <w:szCs w:val="32"/>
        </w:rPr>
        <w:t>酮</w:t>
      </w:r>
      <w:proofErr w:type="gramEnd"/>
      <w:r w:rsidRPr="005A730F">
        <w:rPr>
          <w:rFonts w:eastAsia="仿宋_GB2312"/>
          <w:sz w:val="32"/>
          <w:szCs w:val="32"/>
        </w:rPr>
        <w:t>没有增加心肌梗死或复合终点事件的风险。</w:t>
      </w:r>
    </w:p>
    <w:p w:rsidR="0030481B" w:rsidRPr="005A730F" w:rsidRDefault="0030481B" w:rsidP="0030481B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5A730F">
        <w:rPr>
          <w:rFonts w:eastAsia="仿宋_GB2312"/>
          <w:b/>
          <w:sz w:val="32"/>
          <w:szCs w:val="32"/>
        </w:rPr>
        <w:t>马来酸罗格列酮与</w:t>
      </w:r>
      <w:proofErr w:type="gramStart"/>
      <w:r w:rsidRPr="005A730F">
        <w:rPr>
          <w:rFonts w:eastAsia="仿宋_GB2312"/>
          <w:b/>
          <w:sz w:val="32"/>
          <w:szCs w:val="32"/>
        </w:rPr>
        <w:t>吡</w:t>
      </w:r>
      <w:proofErr w:type="gramEnd"/>
      <w:r w:rsidRPr="005A730F">
        <w:rPr>
          <w:rFonts w:eastAsia="仿宋_GB2312"/>
          <w:b/>
          <w:sz w:val="32"/>
          <w:szCs w:val="32"/>
        </w:rPr>
        <w:t>格列</w:t>
      </w:r>
      <w:proofErr w:type="gramStart"/>
      <w:r w:rsidRPr="005A730F">
        <w:rPr>
          <w:rFonts w:eastAsia="仿宋_GB2312"/>
          <w:b/>
          <w:sz w:val="32"/>
          <w:szCs w:val="32"/>
        </w:rPr>
        <w:t>酮观察</w:t>
      </w:r>
      <w:proofErr w:type="gramEnd"/>
      <w:r w:rsidRPr="005A730F">
        <w:rPr>
          <w:rFonts w:eastAsia="仿宋_GB2312"/>
          <w:b/>
          <w:sz w:val="32"/>
          <w:szCs w:val="32"/>
        </w:rPr>
        <w:t>性研究的死亡率：</w:t>
      </w:r>
      <w:r w:rsidRPr="005A730F">
        <w:rPr>
          <w:rFonts w:eastAsia="仿宋_GB2312"/>
          <w:sz w:val="32"/>
          <w:szCs w:val="32"/>
        </w:rPr>
        <w:t>三项针对老年糖尿病患者（</w:t>
      </w:r>
      <w:r w:rsidRPr="005A730F">
        <w:rPr>
          <w:rFonts w:eastAsia="仿宋_GB2312"/>
          <w:sz w:val="32"/>
          <w:szCs w:val="32"/>
        </w:rPr>
        <w:t>65</w:t>
      </w:r>
      <w:r w:rsidRPr="005A730F">
        <w:rPr>
          <w:rFonts w:eastAsia="仿宋_GB2312"/>
          <w:sz w:val="32"/>
          <w:szCs w:val="32"/>
        </w:rPr>
        <w:t>岁及以上）的观察性研究显示，与</w:t>
      </w:r>
      <w:proofErr w:type="gramStart"/>
      <w:r w:rsidRPr="005A730F">
        <w:rPr>
          <w:rFonts w:eastAsia="仿宋_GB2312"/>
          <w:sz w:val="32"/>
          <w:szCs w:val="32"/>
        </w:rPr>
        <w:t>吡</w:t>
      </w:r>
      <w:proofErr w:type="gramEnd"/>
      <w:r w:rsidRPr="005A730F">
        <w:rPr>
          <w:rFonts w:eastAsia="仿宋_GB2312"/>
          <w:sz w:val="32"/>
          <w:szCs w:val="32"/>
        </w:rPr>
        <w:t>格列酮相比，罗格列</w:t>
      </w:r>
      <w:proofErr w:type="gramStart"/>
      <w:r w:rsidRPr="005A730F">
        <w:rPr>
          <w:rFonts w:eastAsia="仿宋_GB2312"/>
          <w:sz w:val="32"/>
          <w:szCs w:val="32"/>
        </w:rPr>
        <w:t>酮</w:t>
      </w:r>
      <w:proofErr w:type="gramEnd"/>
      <w:r w:rsidRPr="005A730F">
        <w:rPr>
          <w:rFonts w:eastAsia="仿宋_GB2312"/>
          <w:sz w:val="32"/>
          <w:szCs w:val="32"/>
        </w:rPr>
        <w:t>增加全因死亡率的风险具有统计学意义。一项患者平均年龄为</w:t>
      </w:r>
      <w:r w:rsidRPr="005A730F">
        <w:rPr>
          <w:rFonts w:eastAsia="仿宋_GB2312"/>
          <w:sz w:val="32"/>
          <w:szCs w:val="32"/>
        </w:rPr>
        <w:t>54</w:t>
      </w:r>
      <w:r w:rsidRPr="005A730F">
        <w:rPr>
          <w:rFonts w:eastAsia="仿宋_GB2312"/>
          <w:sz w:val="32"/>
          <w:szCs w:val="32"/>
        </w:rPr>
        <w:t>岁的观察性研究显示，使用罗格列酮与</w:t>
      </w:r>
      <w:proofErr w:type="gramStart"/>
      <w:r w:rsidRPr="005A730F">
        <w:rPr>
          <w:rFonts w:eastAsia="仿宋_GB2312"/>
          <w:sz w:val="32"/>
          <w:szCs w:val="32"/>
        </w:rPr>
        <w:t>吡</w:t>
      </w:r>
      <w:proofErr w:type="gramEnd"/>
      <w:r w:rsidRPr="005A730F">
        <w:rPr>
          <w:rFonts w:eastAsia="仿宋_GB2312"/>
          <w:sz w:val="32"/>
          <w:szCs w:val="32"/>
        </w:rPr>
        <w:t>格列酮治疗的患者全因死亡率没有差异，类似的结果也出现在大于</w:t>
      </w:r>
      <w:r w:rsidRPr="005A730F">
        <w:rPr>
          <w:rFonts w:eastAsia="仿宋_GB2312"/>
          <w:sz w:val="32"/>
          <w:szCs w:val="32"/>
        </w:rPr>
        <w:t>65</w:t>
      </w:r>
      <w:r w:rsidRPr="005A730F">
        <w:rPr>
          <w:rFonts w:eastAsia="仿宋_GB2312"/>
          <w:sz w:val="32"/>
          <w:szCs w:val="32"/>
        </w:rPr>
        <w:t>岁患者的亚群中。一项小型、前瞻性、观察性研究发现，服用罗格列酮的患者心血管死亡率和全因死亡率与</w:t>
      </w:r>
      <w:proofErr w:type="gramStart"/>
      <w:r w:rsidRPr="005A730F">
        <w:rPr>
          <w:rFonts w:eastAsia="仿宋_GB2312"/>
          <w:sz w:val="32"/>
          <w:szCs w:val="32"/>
        </w:rPr>
        <w:t>吡</w:t>
      </w:r>
      <w:proofErr w:type="gramEnd"/>
      <w:r w:rsidRPr="005A730F">
        <w:rPr>
          <w:rFonts w:eastAsia="仿宋_GB2312"/>
          <w:sz w:val="32"/>
          <w:szCs w:val="32"/>
        </w:rPr>
        <w:t>格列酮相比没有统计学差异。</w:t>
      </w:r>
    </w:p>
    <w:p w:rsidR="0030481B" w:rsidRPr="005A730F" w:rsidRDefault="0030481B" w:rsidP="0030481B">
      <w:pPr>
        <w:spacing w:line="560" w:lineRule="exact"/>
        <w:ind w:firstLineChars="200" w:firstLine="640"/>
        <w:rPr>
          <w:rFonts w:eastAsia="楷体_GB2312"/>
          <w:bCs/>
          <w:sz w:val="32"/>
          <w:szCs w:val="32"/>
        </w:rPr>
      </w:pPr>
      <w:r w:rsidRPr="005A730F">
        <w:rPr>
          <w:rFonts w:eastAsia="楷体_GB2312"/>
          <w:bCs/>
          <w:sz w:val="32"/>
          <w:szCs w:val="32"/>
        </w:rPr>
        <w:t>3</w:t>
      </w:r>
      <w:r w:rsidRPr="005A730F">
        <w:rPr>
          <w:rFonts w:eastAsia="楷体_GB2312" w:hint="eastAsia"/>
          <w:bCs/>
          <w:sz w:val="32"/>
          <w:szCs w:val="32"/>
        </w:rPr>
        <w:t>.</w:t>
      </w:r>
      <w:r w:rsidRPr="005A730F">
        <w:rPr>
          <w:rFonts w:eastAsia="楷体_GB2312"/>
          <w:bCs/>
          <w:sz w:val="32"/>
          <w:szCs w:val="32"/>
        </w:rPr>
        <w:t>水肿</w:t>
      </w:r>
    </w:p>
    <w:p w:rsidR="0030481B" w:rsidRPr="005A730F" w:rsidRDefault="0030481B" w:rsidP="0030481B">
      <w:pPr>
        <w:spacing w:line="560" w:lineRule="exact"/>
        <w:ind w:firstLineChars="200" w:firstLine="616"/>
        <w:rPr>
          <w:rFonts w:eastAsia="仿宋_GB2312"/>
          <w:spacing w:val="-6"/>
          <w:sz w:val="32"/>
          <w:szCs w:val="32"/>
        </w:rPr>
      </w:pPr>
      <w:r w:rsidRPr="005A730F">
        <w:rPr>
          <w:rFonts w:eastAsia="仿宋_GB2312"/>
          <w:spacing w:val="-6"/>
          <w:sz w:val="32"/>
          <w:szCs w:val="32"/>
        </w:rPr>
        <w:t>水肿患者应慎用罗格列酮。在健康志愿者参加的临床试验中，受试者服用罗格列</w:t>
      </w:r>
      <w:proofErr w:type="gramStart"/>
      <w:r w:rsidRPr="005A730F">
        <w:rPr>
          <w:rFonts w:eastAsia="仿宋_GB2312"/>
          <w:spacing w:val="-6"/>
          <w:sz w:val="32"/>
          <w:szCs w:val="32"/>
        </w:rPr>
        <w:t>酮</w:t>
      </w:r>
      <w:proofErr w:type="gramEnd"/>
      <w:r w:rsidRPr="005A730F">
        <w:rPr>
          <w:rFonts w:eastAsia="仿宋_GB2312"/>
          <w:spacing w:val="-6"/>
          <w:sz w:val="32"/>
          <w:szCs w:val="32"/>
        </w:rPr>
        <w:t>8</w:t>
      </w:r>
      <w:r w:rsidRPr="005A730F">
        <w:rPr>
          <w:rFonts w:eastAsia="仿宋_GB2312"/>
          <w:spacing w:val="-6"/>
          <w:sz w:val="32"/>
          <w:szCs w:val="32"/>
        </w:rPr>
        <w:t>毫克</w:t>
      </w:r>
      <w:r w:rsidRPr="005A730F">
        <w:rPr>
          <w:rFonts w:eastAsia="仿宋_GB2312"/>
          <w:spacing w:val="-6"/>
          <w:sz w:val="32"/>
          <w:szCs w:val="32"/>
        </w:rPr>
        <w:t>/</w:t>
      </w:r>
      <w:r w:rsidRPr="005A730F">
        <w:rPr>
          <w:rFonts w:eastAsia="仿宋_GB2312"/>
          <w:spacing w:val="-6"/>
          <w:sz w:val="32"/>
          <w:szCs w:val="32"/>
        </w:rPr>
        <w:t>日，一日一次，连续服用</w:t>
      </w:r>
      <w:r w:rsidRPr="005A730F">
        <w:rPr>
          <w:rFonts w:eastAsia="仿宋_GB2312"/>
          <w:spacing w:val="-6"/>
          <w:sz w:val="32"/>
          <w:szCs w:val="32"/>
        </w:rPr>
        <w:t>8</w:t>
      </w:r>
      <w:r w:rsidRPr="005A730F">
        <w:rPr>
          <w:rFonts w:eastAsia="仿宋_GB2312"/>
          <w:spacing w:val="-6"/>
          <w:sz w:val="32"/>
          <w:szCs w:val="32"/>
        </w:rPr>
        <w:t>周。结果表明，与安慰剂组相比，给药组平均血容量增加具有统计学意义。</w:t>
      </w:r>
    </w:p>
    <w:p w:rsidR="0030481B" w:rsidRPr="005A730F" w:rsidRDefault="0030481B" w:rsidP="0030481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A730F">
        <w:rPr>
          <w:rFonts w:eastAsia="仿宋_GB2312"/>
          <w:sz w:val="32"/>
          <w:szCs w:val="32"/>
        </w:rPr>
        <w:t>由于</w:t>
      </w:r>
      <w:proofErr w:type="gramStart"/>
      <w:r w:rsidRPr="005A730F">
        <w:rPr>
          <w:rFonts w:eastAsia="仿宋_GB2312"/>
          <w:sz w:val="32"/>
          <w:szCs w:val="32"/>
        </w:rPr>
        <w:t>噻唑烷二酮</w:t>
      </w:r>
      <w:proofErr w:type="gramEnd"/>
      <w:r w:rsidRPr="005A730F">
        <w:rPr>
          <w:rFonts w:eastAsia="仿宋_GB2312"/>
          <w:sz w:val="32"/>
          <w:szCs w:val="32"/>
        </w:rPr>
        <w:t>类药物（包括罗格列酮）可引起液体潴留，故有加重或导致充血性心衰的危险。有心衰病史或心衰危险因素的患者禁用罗格列酮。</w:t>
      </w:r>
    </w:p>
    <w:p w:rsidR="0030481B" w:rsidRPr="005A730F" w:rsidRDefault="0030481B" w:rsidP="0030481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A730F">
        <w:rPr>
          <w:rFonts w:eastAsia="仿宋_GB2312"/>
          <w:sz w:val="32"/>
          <w:szCs w:val="32"/>
        </w:rPr>
        <w:t>在</w:t>
      </w:r>
      <w:r w:rsidRPr="005A730F">
        <w:rPr>
          <w:rFonts w:eastAsia="仿宋_GB2312"/>
          <w:sz w:val="32"/>
          <w:szCs w:val="32"/>
        </w:rPr>
        <w:t>2</w:t>
      </w:r>
      <w:r w:rsidRPr="005A730F">
        <w:rPr>
          <w:rFonts w:eastAsia="仿宋_GB2312"/>
          <w:sz w:val="32"/>
          <w:szCs w:val="32"/>
        </w:rPr>
        <w:t>型糖尿病患者参加的对照临床试验中，服用罗格列酮的患者有出现轻至中度水肿的报道，且可能与剂量相关。已经存在水肿患者如果开始用胰岛素与罗格列</w:t>
      </w:r>
      <w:proofErr w:type="gramStart"/>
      <w:r w:rsidRPr="005A730F">
        <w:rPr>
          <w:rFonts w:eastAsia="仿宋_GB2312"/>
          <w:sz w:val="32"/>
          <w:szCs w:val="32"/>
        </w:rPr>
        <w:t>酮</w:t>
      </w:r>
      <w:proofErr w:type="gramEnd"/>
      <w:r w:rsidRPr="005A730F">
        <w:rPr>
          <w:rFonts w:eastAsia="仿宋_GB2312"/>
          <w:sz w:val="32"/>
          <w:szCs w:val="32"/>
        </w:rPr>
        <w:t>联合治疗，</w:t>
      </w:r>
      <w:r w:rsidRPr="005A730F">
        <w:rPr>
          <w:rFonts w:eastAsia="仿宋_GB2312"/>
          <w:sz w:val="32"/>
          <w:szCs w:val="32"/>
        </w:rPr>
        <w:lastRenderedPageBreak/>
        <w:t>则发生水肿相关不良事件的可能性增加。</w:t>
      </w:r>
    </w:p>
    <w:p w:rsidR="0030481B" w:rsidRPr="005A730F" w:rsidRDefault="0030481B" w:rsidP="0030481B">
      <w:pPr>
        <w:spacing w:line="560" w:lineRule="exact"/>
        <w:ind w:firstLineChars="200" w:firstLine="640"/>
        <w:rPr>
          <w:rFonts w:eastAsia="楷体_GB2312"/>
          <w:bCs/>
          <w:sz w:val="32"/>
          <w:szCs w:val="32"/>
        </w:rPr>
      </w:pPr>
      <w:r w:rsidRPr="005A730F">
        <w:rPr>
          <w:rFonts w:eastAsia="楷体_GB2312"/>
          <w:bCs/>
          <w:sz w:val="32"/>
          <w:szCs w:val="32"/>
        </w:rPr>
        <w:t>4</w:t>
      </w:r>
      <w:r w:rsidRPr="005A730F">
        <w:rPr>
          <w:rFonts w:eastAsia="楷体_GB2312" w:hint="eastAsia"/>
          <w:bCs/>
          <w:sz w:val="32"/>
          <w:szCs w:val="32"/>
        </w:rPr>
        <w:t>.</w:t>
      </w:r>
      <w:r w:rsidRPr="005A730F">
        <w:rPr>
          <w:rFonts w:eastAsia="楷体_GB2312"/>
          <w:bCs/>
          <w:sz w:val="32"/>
          <w:szCs w:val="32"/>
        </w:rPr>
        <w:t>体重增加</w:t>
      </w:r>
    </w:p>
    <w:p w:rsidR="0030481B" w:rsidRPr="005A730F" w:rsidRDefault="0030481B" w:rsidP="0030481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A730F">
        <w:rPr>
          <w:rFonts w:eastAsia="仿宋_GB2312"/>
          <w:sz w:val="32"/>
          <w:szCs w:val="32"/>
        </w:rPr>
        <w:t>罗格列</w:t>
      </w:r>
      <w:proofErr w:type="gramStart"/>
      <w:r w:rsidRPr="005A730F">
        <w:rPr>
          <w:rFonts w:eastAsia="仿宋_GB2312"/>
          <w:sz w:val="32"/>
          <w:szCs w:val="32"/>
        </w:rPr>
        <w:t>酮</w:t>
      </w:r>
      <w:proofErr w:type="gramEnd"/>
      <w:r w:rsidRPr="005A730F">
        <w:rPr>
          <w:rFonts w:eastAsia="仿宋_GB2312"/>
          <w:sz w:val="32"/>
          <w:szCs w:val="32"/>
        </w:rPr>
        <w:t>单用和与其他降糖药合用可出现体重增加，且具有剂量相关性（见表</w:t>
      </w:r>
      <w:r w:rsidRPr="005A730F">
        <w:rPr>
          <w:rFonts w:eastAsia="仿宋_GB2312"/>
          <w:sz w:val="32"/>
          <w:szCs w:val="32"/>
        </w:rPr>
        <w:t>2</w:t>
      </w:r>
      <w:r w:rsidRPr="005A730F">
        <w:rPr>
          <w:rFonts w:eastAsia="仿宋_GB2312"/>
          <w:sz w:val="32"/>
          <w:szCs w:val="32"/>
        </w:rPr>
        <w:t>）。体重增加的机制尚不清楚，但有可能为体液潴留和脂肪重新分布的共同作用的结果。</w:t>
      </w:r>
    </w:p>
    <w:p w:rsidR="0030481B" w:rsidRDefault="0030481B" w:rsidP="0030481B">
      <w:pPr>
        <w:spacing w:line="240" w:lineRule="exact"/>
        <w:ind w:firstLineChars="200" w:firstLine="640"/>
        <w:rPr>
          <w:rFonts w:eastAsia="仿宋_GB2312"/>
          <w:sz w:val="32"/>
          <w:szCs w:val="32"/>
        </w:rPr>
      </w:pPr>
    </w:p>
    <w:p w:rsidR="0030481B" w:rsidRPr="005A730F" w:rsidRDefault="0030481B" w:rsidP="0030481B">
      <w:pPr>
        <w:spacing w:line="240" w:lineRule="exact"/>
        <w:ind w:firstLineChars="200" w:firstLine="640"/>
        <w:rPr>
          <w:rFonts w:eastAsia="仿宋_GB2312"/>
          <w:sz w:val="32"/>
          <w:szCs w:val="32"/>
        </w:rPr>
      </w:pPr>
    </w:p>
    <w:p w:rsidR="0030481B" w:rsidRPr="005A730F" w:rsidRDefault="0030481B" w:rsidP="0030481B">
      <w:pPr>
        <w:ind w:firstLine="420"/>
        <w:rPr>
          <w:szCs w:val="21"/>
        </w:rPr>
      </w:pPr>
      <w:r w:rsidRPr="005A730F">
        <w:rPr>
          <w:rFonts w:hint="eastAsia"/>
          <w:szCs w:val="21"/>
        </w:rPr>
        <w:t>表</w:t>
      </w:r>
      <w:r w:rsidRPr="005A730F">
        <w:rPr>
          <w:szCs w:val="21"/>
        </w:rPr>
        <w:t>2</w:t>
      </w:r>
      <w:r w:rsidRPr="005A730F">
        <w:rPr>
          <w:rFonts w:hint="eastAsia"/>
          <w:szCs w:val="21"/>
        </w:rPr>
        <w:t>．马来酸罗格列</w:t>
      </w:r>
      <w:proofErr w:type="gramStart"/>
      <w:r w:rsidRPr="005A730F">
        <w:rPr>
          <w:rFonts w:hint="eastAsia"/>
          <w:szCs w:val="21"/>
        </w:rPr>
        <w:t>酮</w:t>
      </w:r>
      <w:proofErr w:type="gramEnd"/>
      <w:r w:rsidRPr="005A730F">
        <w:rPr>
          <w:rFonts w:hint="eastAsia"/>
          <w:szCs w:val="21"/>
        </w:rPr>
        <w:t>临床试验中体重</w:t>
      </w:r>
      <w:r w:rsidRPr="005A730F">
        <w:rPr>
          <w:rFonts w:hint="eastAsia"/>
          <w:szCs w:val="21"/>
        </w:rPr>
        <w:t>(kg)</w:t>
      </w:r>
      <w:r w:rsidRPr="005A730F">
        <w:rPr>
          <w:rFonts w:hint="eastAsia"/>
          <w:szCs w:val="21"/>
        </w:rPr>
        <w:t>较基线值的变化情况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1276"/>
        <w:gridCol w:w="1701"/>
        <w:gridCol w:w="1701"/>
        <w:gridCol w:w="1701"/>
      </w:tblGrid>
      <w:tr w:rsidR="0030481B" w:rsidRPr="005A730F" w:rsidTr="007F0DA7">
        <w:trPr>
          <w:trHeight w:val="568"/>
          <w:jc w:val="center"/>
        </w:trPr>
        <w:tc>
          <w:tcPr>
            <w:tcW w:w="1242" w:type="dxa"/>
            <w:vMerge w:val="restart"/>
            <w:vAlign w:val="bottom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5A730F">
              <w:rPr>
                <w:rFonts w:hint="eastAsia"/>
                <w:b/>
                <w:szCs w:val="21"/>
              </w:rPr>
              <w:t>治疗时间</w:t>
            </w:r>
          </w:p>
        </w:tc>
        <w:tc>
          <w:tcPr>
            <w:tcW w:w="2977" w:type="dxa"/>
            <w:gridSpan w:val="2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 w:rsidRPr="005A730F">
              <w:rPr>
                <w:rFonts w:hint="eastAsia"/>
                <w:b/>
                <w:szCs w:val="21"/>
              </w:rPr>
              <w:t>对照组</w:t>
            </w:r>
          </w:p>
        </w:tc>
        <w:tc>
          <w:tcPr>
            <w:tcW w:w="1701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A730F">
              <w:rPr>
                <w:rFonts w:hint="eastAsia"/>
                <w:b/>
                <w:szCs w:val="21"/>
              </w:rPr>
              <w:t>马来酸罗格列酮</w:t>
            </w:r>
            <w:r w:rsidRPr="005A730F">
              <w:rPr>
                <w:rFonts w:hint="eastAsia"/>
                <w:b/>
                <w:szCs w:val="21"/>
              </w:rPr>
              <w:t>4mg</w:t>
            </w:r>
          </w:p>
        </w:tc>
        <w:tc>
          <w:tcPr>
            <w:tcW w:w="1701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A730F">
              <w:rPr>
                <w:rFonts w:hint="eastAsia"/>
                <w:b/>
                <w:szCs w:val="21"/>
              </w:rPr>
              <w:t>马来酸罗格列</w:t>
            </w:r>
            <w:proofErr w:type="gramStart"/>
            <w:r w:rsidRPr="005A730F">
              <w:rPr>
                <w:rFonts w:hint="eastAsia"/>
                <w:b/>
                <w:szCs w:val="21"/>
              </w:rPr>
              <w:t>酮</w:t>
            </w:r>
            <w:proofErr w:type="gramEnd"/>
          </w:p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A730F">
              <w:rPr>
                <w:rFonts w:hint="eastAsia"/>
                <w:b/>
                <w:szCs w:val="21"/>
              </w:rPr>
              <w:t>8 mg</w:t>
            </w:r>
          </w:p>
        </w:tc>
      </w:tr>
      <w:tr w:rsidR="0030481B" w:rsidRPr="005A730F" w:rsidTr="007F0DA7">
        <w:trPr>
          <w:trHeight w:val="602"/>
          <w:jc w:val="center"/>
        </w:trPr>
        <w:tc>
          <w:tcPr>
            <w:tcW w:w="1242" w:type="dxa"/>
            <w:vMerge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A730F">
              <w:rPr>
                <w:rFonts w:hint="eastAsia"/>
                <w:b/>
                <w:szCs w:val="21"/>
              </w:rPr>
              <w:t>中位数</w:t>
            </w:r>
          </w:p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A730F">
              <w:rPr>
                <w:rFonts w:hint="eastAsia"/>
                <w:b/>
                <w:szCs w:val="21"/>
              </w:rPr>
              <w:t>(</w:t>
            </w:r>
            <w:r w:rsidRPr="005A730F">
              <w:rPr>
                <w:rFonts w:hint="eastAsia"/>
                <w:b/>
                <w:szCs w:val="21"/>
              </w:rPr>
              <w:t>上下四分位数</w:t>
            </w:r>
            <w:r w:rsidRPr="005A730F"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A730F">
              <w:rPr>
                <w:rFonts w:hint="eastAsia"/>
                <w:b/>
                <w:szCs w:val="21"/>
              </w:rPr>
              <w:t>中位数</w:t>
            </w:r>
          </w:p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A730F">
              <w:rPr>
                <w:rFonts w:hint="eastAsia"/>
                <w:b/>
                <w:szCs w:val="21"/>
              </w:rPr>
              <w:t>(</w:t>
            </w:r>
            <w:bookmarkStart w:id="1" w:name="OLE_LINK2"/>
            <w:bookmarkStart w:id="2" w:name="OLE_LINK3"/>
            <w:r w:rsidRPr="005A730F">
              <w:rPr>
                <w:rFonts w:hint="eastAsia"/>
                <w:b/>
                <w:szCs w:val="21"/>
              </w:rPr>
              <w:t>上下四分位数</w:t>
            </w:r>
            <w:bookmarkEnd w:id="1"/>
            <w:bookmarkEnd w:id="2"/>
            <w:r w:rsidRPr="005A730F"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A730F">
              <w:rPr>
                <w:rFonts w:hint="eastAsia"/>
                <w:b/>
                <w:szCs w:val="21"/>
              </w:rPr>
              <w:t>中位数</w:t>
            </w:r>
          </w:p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A730F">
              <w:rPr>
                <w:rFonts w:hint="eastAsia"/>
                <w:b/>
                <w:szCs w:val="21"/>
              </w:rPr>
              <w:t>(</w:t>
            </w:r>
            <w:r w:rsidRPr="005A730F">
              <w:rPr>
                <w:rFonts w:hint="eastAsia"/>
                <w:b/>
                <w:szCs w:val="21"/>
              </w:rPr>
              <w:t>上下四分位数</w:t>
            </w:r>
            <w:r w:rsidRPr="005A730F">
              <w:rPr>
                <w:rFonts w:hint="eastAsia"/>
                <w:b/>
                <w:szCs w:val="21"/>
              </w:rPr>
              <w:t>)</w:t>
            </w:r>
          </w:p>
        </w:tc>
      </w:tr>
      <w:tr w:rsidR="0030481B" w:rsidRPr="005A730F" w:rsidTr="007F0DA7">
        <w:trPr>
          <w:trHeight w:val="417"/>
          <w:jc w:val="center"/>
        </w:trPr>
        <w:tc>
          <w:tcPr>
            <w:tcW w:w="1242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5A730F">
              <w:rPr>
                <w:rFonts w:hint="eastAsia"/>
                <w:b/>
                <w:szCs w:val="21"/>
              </w:rPr>
              <w:t>单一治疗</w:t>
            </w:r>
          </w:p>
        </w:tc>
        <w:tc>
          <w:tcPr>
            <w:tcW w:w="1134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b/>
                <w:szCs w:val="21"/>
              </w:rPr>
            </w:pPr>
          </w:p>
        </w:tc>
      </w:tr>
      <w:tr w:rsidR="0030481B" w:rsidRPr="005A730F" w:rsidTr="007F0DA7">
        <w:trPr>
          <w:jc w:val="center"/>
        </w:trPr>
        <w:tc>
          <w:tcPr>
            <w:tcW w:w="1242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26</w:t>
            </w:r>
            <w:r w:rsidRPr="005A730F">
              <w:rPr>
                <w:rFonts w:hint="eastAsia"/>
                <w:szCs w:val="21"/>
              </w:rPr>
              <w:t>周</w:t>
            </w:r>
          </w:p>
        </w:tc>
        <w:tc>
          <w:tcPr>
            <w:tcW w:w="1276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安慰剂</w:t>
            </w:r>
          </w:p>
        </w:tc>
        <w:tc>
          <w:tcPr>
            <w:tcW w:w="1701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-0.9(-2.8</w:t>
            </w:r>
            <w:r w:rsidRPr="005A730F">
              <w:rPr>
                <w:rFonts w:hint="eastAsia"/>
                <w:szCs w:val="21"/>
              </w:rPr>
              <w:t>，</w:t>
            </w:r>
            <w:r w:rsidRPr="005A730F">
              <w:rPr>
                <w:rFonts w:hint="eastAsia"/>
                <w:szCs w:val="21"/>
              </w:rPr>
              <w:t>0.9)</w:t>
            </w:r>
          </w:p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5A730F">
              <w:rPr>
                <w:szCs w:val="21"/>
              </w:rPr>
              <w:t>n=210</w:t>
            </w:r>
          </w:p>
        </w:tc>
        <w:tc>
          <w:tcPr>
            <w:tcW w:w="1701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1.0(-0.9</w:t>
            </w:r>
            <w:r w:rsidRPr="005A730F">
              <w:rPr>
                <w:rFonts w:hint="eastAsia"/>
                <w:szCs w:val="21"/>
              </w:rPr>
              <w:t>，</w:t>
            </w:r>
            <w:r w:rsidRPr="005A730F">
              <w:rPr>
                <w:rFonts w:hint="eastAsia"/>
                <w:szCs w:val="21"/>
              </w:rPr>
              <w:t>3.6)</w:t>
            </w:r>
          </w:p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5A730F">
              <w:rPr>
                <w:szCs w:val="21"/>
              </w:rPr>
              <w:t>n=436</w:t>
            </w:r>
          </w:p>
        </w:tc>
        <w:tc>
          <w:tcPr>
            <w:tcW w:w="1701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3.1(1.1</w:t>
            </w:r>
            <w:r w:rsidRPr="005A730F">
              <w:rPr>
                <w:rFonts w:hint="eastAsia"/>
                <w:szCs w:val="21"/>
              </w:rPr>
              <w:t>，</w:t>
            </w:r>
            <w:r w:rsidRPr="005A730F">
              <w:rPr>
                <w:rFonts w:hint="eastAsia"/>
                <w:szCs w:val="21"/>
              </w:rPr>
              <w:t xml:space="preserve"> 5.8)</w:t>
            </w:r>
          </w:p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n=439</w:t>
            </w:r>
          </w:p>
        </w:tc>
      </w:tr>
      <w:tr w:rsidR="0030481B" w:rsidRPr="005A730F" w:rsidTr="007F0DA7">
        <w:trPr>
          <w:jc w:val="center"/>
        </w:trPr>
        <w:tc>
          <w:tcPr>
            <w:tcW w:w="1242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52</w:t>
            </w:r>
            <w:r w:rsidRPr="005A730F">
              <w:rPr>
                <w:rFonts w:hint="eastAsia"/>
                <w:szCs w:val="21"/>
              </w:rPr>
              <w:t>周</w:t>
            </w:r>
          </w:p>
        </w:tc>
        <w:tc>
          <w:tcPr>
            <w:tcW w:w="1276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proofErr w:type="gramStart"/>
            <w:r w:rsidRPr="005A730F">
              <w:rPr>
                <w:rFonts w:hint="eastAsia"/>
                <w:szCs w:val="21"/>
              </w:rPr>
              <w:t>磺</w:t>
            </w:r>
            <w:proofErr w:type="gramEnd"/>
            <w:r w:rsidRPr="005A730F">
              <w:rPr>
                <w:rFonts w:hint="eastAsia"/>
                <w:szCs w:val="21"/>
              </w:rPr>
              <w:t>酰</w:t>
            </w:r>
            <w:proofErr w:type="gramStart"/>
            <w:r w:rsidRPr="005A730F">
              <w:rPr>
                <w:rFonts w:hint="eastAsia"/>
                <w:szCs w:val="21"/>
              </w:rPr>
              <w:t>脲</w:t>
            </w:r>
            <w:proofErr w:type="gramEnd"/>
            <w:r w:rsidRPr="005A730F">
              <w:rPr>
                <w:rFonts w:hint="eastAsia"/>
                <w:szCs w:val="21"/>
              </w:rPr>
              <w:t>类</w:t>
            </w:r>
          </w:p>
        </w:tc>
        <w:tc>
          <w:tcPr>
            <w:tcW w:w="1701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2.0</w:t>
            </w:r>
            <w:r w:rsidRPr="005A730F">
              <w:rPr>
                <w:rFonts w:hint="eastAsia"/>
                <w:szCs w:val="21"/>
              </w:rPr>
              <w:t>（</w:t>
            </w:r>
            <w:r w:rsidRPr="005A730F">
              <w:rPr>
                <w:rFonts w:hint="eastAsia"/>
                <w:szCs w:val="21"/>
              </w:rPr>
              <w:t>0</w:t>
            </w:r>
            <w:r w:rsidRPr="005A730F">
              <w:rPr>
                <w:rFonts w:hint="eastAsia"/>
                <w:szCs w:val="21"/>
              </w:rPr>
              <w:t>，</w:t>
            </w:r>
            <w:r w:rsidRPr="005A730F">
              <w:rPr>
                <w:rFonts w:hint="eastAsia"/>
                <w:szCs w:val="21"/>
              </w:rPr>
              <w:t>4.0</w:t>
            </w:r>
            <w:r w:rsidRPr="005A730F">
              <w:rPr>
                <w:rFonts w:hint="eastAsia"/>
                <w:szCs w:val="21"/>
              </w:rPr>
              <w:t>）</w:t>
            </w:r>
          </w:p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n=173</w:t>
            </w:r>
          </w:p>
        </w:tc>
        <w:tc>
          <w:tcPr>
            <w:tcW w:w="1701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2.0</w:t>
            </w:r>
            <w:r w:rsidRPr="005A730F">
              <w:rPr>
                <w:rFonts w:hint="eastAsia"/>
                <w:szCs w:val="21"/>
              </w:rPr>
              <w:t>（</w:t>
            </w:r>
            <w:r w:rsidRPr="005A730F">
              <w:rPr>
                <w:rFonts w:hint="eastAsia"/>
                <w:szCs w:val="21"/>
              </w:rPr>
              <w:t>-0.6</w:t>
            </w:r>
            <w:r w:rsidRPr="005A730F">
              <w:rPr>
                <w:rFonts w:hint="eastAsia"/>
                <w:szCs w:val="21"/>
              </w:rPr>
              <w:t>，</w:t>
            </w:r>
            <w:r w:rsidRPr="005A730F">
              <w:rPr>
                <w:rFonts w:hint="eastAsia"/>
                <w:szCs w:val="21"/>
              </w:rPr>
              <w:t>4.0</w:t>
            </w:r>
            <w:r w:rsidRPr="005A730F">
              <w:rPr>
                <w:rFonts w:hint="eastAsia"/>
                <w:szCs w:val="21"/>
              </w:rPr>
              <w:t>）</w:t>
            </w:r>
          </w:p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n=150</w:t>
            </w:r>
          </w:p>
        </w:tc>
        <w:tc>
          <w:tcPr>
            <w:tcW w:w="1701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2.6</w:t>
            </w:r>
            <w:r w:rsidRPr="005A730F">
              <w:rPr>
                <w:rFonts w:hint="eastAsia"/>
                <w:szCs w:val="21"/>
              </w:rPr>
              <w:t>（</w:t>
            </w:r>
            <w:r w:rsidRPr="005A730F">
              <w:rPr>
                <w:rFonts w:hint="eastAsia"/>
                <w:szCs w:val="21"/>
              </w:rPr>
              <w:t>0</w:t>
            </w:r>
            <w:r w:rsidRPr="005A730F">
              <w:rPr>
                <w:rFonts w:hint="eastAsia"/>
                <w:szCs w:val="21"/>
              </w:rPr>
              <w:t>，</w:t>
            </w:r>
            <w:r w:rsidRPr="005A730F">
              <w:rPr>
                <w:rFonts w:hint="eastAsia"/>
                <w:szCs w:val="21"/>
              </w:rPr>
              <w:t>5.3</w:t>
            </w:r>
            <w:r w:rsidRPr="005A730F">
              <w:rPr>
                <w:rFonts w:hint="eastAsia"/>
                <w:szCs w:val="21"/>
              </w:rPr>
              <w:t>）</w:t>
            </w:r>
          </w:p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n=157</w:t>
            </w:r>
          </w:p>
        </w:tc>
      </w:tr>
      <w:tr w:rsidR="0030481B" w:rsidRPr="005A730F" w:rsidTr="007F0DA7">
        <w:trPr>
          <w:trHeight w:val="381"/>
          <w:jc w:val="center"/>
        </w:trPr>
        <w:tc>
          <w:tcPr>
            <w:tcW w:w="1242" w:type="dxa"/>
            <w:vAlign w:val="bottom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b/>
                <w:szCs w:val="21"/>
              </w:rPr>
            </w:pPr>
            <w:r w:rsidRPr="005A730F">
              <w:rPr>
                <w:rFonts w:hint="eastAsia"/>
                <w:b/>
                <w:szCs w:val="21"/>
              </w:rPr>
              <w:t>联合治疗</w:t>
            </w:r>
          </w:p>
        </w:tc>
        <w:tc>
          <w:tcPr>
            <w:tcW w:w="1134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30481B" w:rsidRPr="005A730F" w:rsidTr="007F0DA7">
        <w:trPr>
          <w:jc w:val="center"/>
        </w:trPr>
        <w:tc>
          <w:tcPr>
            <w:tcW w:w="1242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proofErr w:type="gramStart"/>
            <w:r w:rsidRPr="005A730F">
              <w:rPr>
                <w:rFonts w:hint="eastAsia"/>
                <w:szCs w:val="21"/>
              </w:rPr>
              <w:t>磺</w:t>
            </w:r>
            <w:proofErr w:type="gramEnd"/>
            <w:r w:rsidRPr="005A730F">
              <w:rPr>
                <w:rFonts w:hint="eastAsia"/>
                <w:szCs w:val="21"/>
              </w:rPr>
              <w:t>酰</w:t>
            </w:r>
            <w:proofErr w:type="gramStart"/>
            <w:r w:rsidRPr="005A730F">
              <w:rPr>
                <w:rFonts w:hint="eastAsia"/>
                <w:szCs w:val="21"/>
              </w:rPr>
              <w:t>脲</w:t>
            </w:r>
            <w:proofErr w:type="gramEnd"/>
            <w:r w:rsidRPr="005A730F">
              <w:rPr>
                <w:rFonts w:hint="eastAsia"/>
                <w:szCs w:val="21"/>
              </w:rPr>
              <w:t>类</w:t>
            </w:r>
          </w:p>
        </w:tc>
        <w:tc>
          <w:tcPr>
            <w:tcW w:w="1134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24-26</w:t>
            </w:r>
            <w:r w:rsidRPr="005A730F">
              <w:rPr>
                <w:rFonts w:hint="eastAsia"/>
                <w:szCs w:val="21"/>
              </w:rPr>
              <w:t>周</w:t>
            </w:r>
          </w:p>
        </w:tc>
        <w:tc>
          <w:tcPr>
            <w:tcW w:w="1276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proofErr w:type="gramStart"/>
            <w:r w:rsidRPr="005A730F">
              <w:rPr>
                <w:rFonts w:hint="eastAsia"/>
                <w:szCs w:val="21"/>
              </w:rPr>
              <w:t>磺</w:t>
            </w:r>
            <w:proofErr w:type="gramEnd"/>
            <w:r w:rsidRPr="005A730F">
              <w:rPr>
                <w:rFonts w:hint="eastAsia"/>
                <w:szCs w:val="21"/>
              </w:rPr>
              <w:t>酰</w:t>
            </w:r>
            <w:proofErr w:type="gramStart"/>
            <w:r w:rsidRPr="005A730F">
              <w:rPr>
                <w:rFonts w:hint="eastAsia"/>
                <w:szCs w:val="21"/>
              </w:rPr>
              <w:t>脲</w:t>
            </w:r>
            <w:proofErr w:type="gramEnd"/>
            <w:r w:rsidRPr="005A730F">
              <w:rPr>
                <w:rFonts w:hint="eastAsia"/>
                <w:szCs w:val="21"/>
              </w:rPr>
              <w:t>类</w:t>
            </w:r>
          </w:p>
        </w:tc>
        <w:tc>
          <w:tcPr>
            <w:tcW w:w="1701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0(-1.3</w:t>
            </w:r>
            <w:r w:rsidRPr="005A730F">
              <w:rPr>
                <w:rFonts w:hint="eastAsia"/>
                <w:szCs w:val="21"/>
              </w:rPr>
              <w:t>，</w:t>
            </w:r>
            <w:r w:rsidRPr="005A730F">
              <w:rPr>
                <w:rFonts w:hint="eastAsia"/>
                <w:szCs w:val="21"/>
              </w:rPr>
              <w:t>1.2)</w:t>
            </w:r>
          </w:p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n=1,155</w:t>
            </w:r>
          </w:p>
        </w:tc>
        <w:tc>
          <w:tcPr>
            <w:tcW w:w="1701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2.2(0.5</w:t>
            </w:r>
            <w:r w:rsidRPr="005A730F">
              <w:rPr>
                <w:rFonts w:hint="eastAsia"/>
                <w:szCs w:val="21"/>
              </w:rPr>
              <w:t>，</w:t>
            </w:r>
            <w:r w:rsidRPr="005A730F">
              <w:rPr>
                <w:rFonts w:hint="eastAsia"/>
                <w:szCs w:val="21"/>
              </w:rPr>
              <w:t>4.0)</w:t>
            </w:r>
          </w:p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n=613</w:t>
            </w:r>
          </w:p>
        </w:tc>
        <w:tc>
          <w:tcPr>
            <w:tcW w:w="1701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3.5(1.4</w:t>
            </w:r>
            <w:r w:rsidRPr="005A730F">
              <w:rPr>
                <w:rFonts w:hint="eastAsia"/>
                <w:szCs w:val="21"/>
              </w:rPr>
              <w:t>，</w:t>
            </w:r>
            <w:r w:rsidRPr="005A730F">
              <w:rPr>
                <w:rFonts w:hint="eastAsia"/>
                <w:szCs w:val="21"/>
              </w:rPr>
              <w:t>5.9)</w:t>
            </w:r>
          </w:p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n=841</w:t>
            </w:r>
          </w:p>
        </w:tc>
      </w:tr>
      <w:tr w:rsidR="0030481B" w:rsidRPr="005A730F" w:rsidTr="007F0DA7">
        <w:trPr>
          <w:jc w:val="center"/>
        </w:trPr>
        <w:tc>
          <w:tcPr>
            <w:tcW w:w="1242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二甲双</w:t>
            </w:r>
            <w:proofErr w:type="gramStart"/>
            <w:r w:rsidRPr="005A730F">
              <w:rPr>
                <w:rFonts w:hint="eastAsia"/>
                <w:szCs w:val="21"/>
              </w:rPr>
              <w:t>胍</w:t>
            </w:r>
            <w:proofErr w:type="gramEnd"/>
          </w:p>
        </w:tc>
        <w:tc>
          <w:tcPr>
            <w:tcW w:w="1134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26</w:t>
            </w:r>
            <w:r w:rsidRPr="005A730F">
              <w:rPr>
                <w:rFonts w:hint="eastAsia"/>
                <w:szCs w:val="21"/>
              </w:rPr>
              <w:t>周</w:t>
            </w:r>
          </w:p>
        </w:tc>
        <w:tc>
          <w:tcPr>
            <w:tcW w:w="1276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二甲双</w:t>
            </w:r>
            <w:proofErr w:type="gramStart"/>
            <w:r w:rsidRPr="005A730F">
              <w:rPr>
                <w:rFonts w:hint="eastAsia"/>
                <w:szCs w:val="21"/>
              </w:rPr>
              <w:t>胍</w:t>
            </w:r>
            <w:proofErr w:type="gramEnd"/>
          </w:p>
        </w:tc>
        <w:tc>
          <w:tcPr>
            <w:tcW w:w="1701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-1.4(-3.2</w:t>
            </w:r>
            <w:r w:rsidRPr="005A730F">
              <w:rPr>
                <w:rFonts w:hint="eastAsia"/>
                <w:szCs w:val="21"/>
              </w:rPr>
              <w:t>，</w:t>
            </w:r>
            <w:r w:rsidRPr="005A730F">
              <w:rPr>
                <w:rFonts w:hint="eastAsia"/>
                <w:szCs w:val="21"/>
              </w:rPr>
              <w:t>0.2)</w:t>
            </w:r>
          </w:p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n=175</w:t>
            </w:r>
          </w:p>
        </w:tc>
        <w:tc>
          <w:tcPr>
            <w:tcW w:w="1701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0.8(-1.0</w:t>
            </w:r>
            <w:r w:rsidRPr="005A730F">
              <w:rPr>
                <w:rFonts w:hint="eastAsia"/>
                <w:szCs w:val="21"/>
              </w:rPr>
              <w:t>，</w:t>
            </w:r>
            <w:r w:rsidRPr="005A730F">
              <w:rPr>
                <w:rFonts w:hint="eastAsia"/>
                <w:szCs w:val="21"/>
              </w:rPr>
              <w:t>2.6)</w:t>
            </w:r>
          </w:p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n=100</w:t>
            </w:r>
          </w:p>
        </w:tc>
        <w:tc>
          <w:tcPr>
            <w:tcW w:w="1701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2.1(0</w:t>
            </w:r>
            <w:r w:rsidRPr="005A730F">
              <w:rPr>
                <w:rFonts w:hint="eastAsia"/>
                <w:szCs w:val="21"/>
              </w:rPr>
              <w:t>，</w:t>
            </w:r>
            <w:r w:rsidRPr="005A730F">
              <w:rPr>
                <w:rFonts w:hint="eastAsia"/>
                <w:szCs w:val="21"/>
              </w:rPr>
              <w:t>4.3)</w:t>
            </w:r>
          </w:p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n=184</w:t>
            </w:r>
          </w:p>
        </w:tc>
      </w:tr>
      <w:tr w:rsidR="0030481B" w:rsidRPr="005A730F" w:rsidTr="007F0DA7">
        <w:trPr>
          <w:jc w:val="center"/>
        </w:trPr>
        <w:tc>
          <w:tcPr>
            <w:tcW w:w="1242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胰岛素</w:t>
            </w:r>
          </w:p>
        </w:tc>
        <w:tc>
          <w:tcPr>
            <w:tcW w:w="1134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26</w:t>
            </w:r>
            <w:r w:rsidRPr="005A730F">
              <w:rPr>
                <w:rFonts w:hint="eastAsia"/>
                <w:szCs w:val="21"/>
              </w:rPr>
              <w:t>周</w:t>
            </w:r>
          </w:p>
        </w:tc>
        <w:tc>
          <w:tcPr>
            <w:tcW w:w="1276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胰岛素</w:t>
            </w:r>
          </w:p>
        </w:tc>
        <w:tc>
          <w:tcPr>
            <w:tcW w:w="1701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0.9(-0.5</w:t>
            </w:r>
            <w:r w:rsidRPr="005A730F">
              <w:rPr>
                <w:rFonts w:hint="eastAsia"/>
                <w:szCs w:val="21"/>
              </w:rPr>
              <w:t>，</w:t>
            </w:r>
            <w:r w:rsidRPr="005A730F">
              <w:rPr>
                <w:rFonts w:hint="eastAsia"/>
                <w:szCs w:val="21"/>
              </w:rPr>
              <w:t>2.7)</w:t>
            </w:r>
          </w:p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n=162</w:t>
            </w:r>
          </w:p>
        </w:tc>
        <w:tc>
          <w:tcPr>
            <w:tcW w:w="1701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4.1(1.4</w:t>
            </w:r>
            <w:r w:rsidRPr="005A730F">
              <w:rPr>
                <w:rFonts w:hint="eastAsia"/>
                <w:szCs w:val="21"/>
              </w:rPr>
              <w:t>，</w:t>
            </w:r>
            <w:r w:rsidRPr="005A730F">
              <w:rPr>
                <w:rFonts w:hint="eastAsia"/>
                <w:szCs w:val="21"/>
              </w:rPr>
              <w:t>6.3)</w:t>
            </w:r>
          </w:p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n=164</w:t>
            </w:r>
          </w:p>
        </w:tc>
        <w:tc>
          <w:tcPr>
            <w:tcW w:w="1701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5.4(3.4</w:t>
            </w:r>
            <w:r w:rsidRPr="005A730F">
              <w:rPr>
                <w:rFonts w:hint="eastAsia"/>
                <w:szCs w:val="21"/>
              </w:rPr>
              <w:t>，</w:t>
            </w:r>
            <w:r w:rsidRPr="005A730F">
              <w:rPr>
                <w:rFonts w:hint="eastAsia"/>
                <w:szCs w:val="21"/>
              </w:rPr>
              <w:t>7.3)</w:t>
            </w:r>
          </w:p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n=150</w:t>
            </w:r>
          </w:p>
        </w:tc>
      </w:tr>
      <w:tr w:rsidR="0030481B" w:rsidRPr="005A730F" w:rsidTr="007F0DA7">
        <w:trPr>
          <w:jc w:val="center"/>
        </w:trPr>
        <w:tc>
          <w:tcPr>
            <w:tcW w:w="1242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proofErr w:type="gramStart"/>
            <w:r w:rsidRPr="005A730F">
              <w:rPr>
                <w:rFonts w:hint="eastAsia"/>
                <w:szCs w:val="21"/>
              </w:rPr>
              <w:t>磺</w:t>
            </w:r>
            <w:proofErr w:type="gramEnd"/>
            <w:r w:rsidRPr="005A730F">
              <w:rPr>
                <w:rFonts w:hint="eastAsia"/>
                <w:szCs w:val="21"/>
              </w:rPr>
              <w:t>酰</w:t>
            </w:r>
            <w:proofErr w:type="gramStart"/>
            <w:r w:rsidRPr="005A730F">
              <w:rPr>
                <w:rFonts w:hint="eastAsia"/>
                <w:szCs w:val="21"/>
              </w:rPr>
              <w:t>脲</w:t>
            </w:r>
            <w:proofErr w:type="gramEnd"/>
            <w:r w:rsidRPr="005A730F">
              <w:rPr>
                <w:rFonts w:hint="eastAsia"/>
                <w:szCs w:val="21"/>
              </w:rPr>
              <w:t>类</w:t>
            </w:r>
            <w:r w:rsidRPr="005A730F">
              <w:rPr>
                <w:rFonts w:hint="eastAsia"/>
                <w:szCs w:val="21"/>
              </w:rPr>
              <w:t>+</w:t>
            </w:r>
            <w:r w:rsidRPr="005A730F">
              <w:rPr>
                <w:rFonts w:hint="eastAsia"/>
                <w:szCs w:val="21"/>
              </w:rPr>
              <w:t>二甲双</w:t>
            </w:r>
            <w:proofErr w:type="gramStart"/>
            <w:r w:rsidRPr="005A730F">
              <w:rPr>
                <w:rFonts w:hint="eastAsia"/>
                <w:szCs w:val="21"/>
              </w:rPr>
              <w:t>胍</w:t>
            </w:r>
            <w:proofErr w:type="gramEnd"/>
          </w:p>
        </w:tc>
        <w:tc>
          <w:tcPr>
            <w:tcW w:w="1134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26</w:t>
            </w:r>
            <w:r w:rsidRPr="005A730F">
              <w:rPr>
                <w:rFonts w:hint="eastAsia"/>
                <w:szCs w:val="21"/>
              </w:rPr>
              <w:t>周</w:t>
            </w:r>
          </w:p>
        </w:tc>
        <w:tc>
          <w:tcPr>
            <w:tcW w:w="1276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proofErr w:type="gramStart"/>
            <w:r w:rsidRPr="005A730F">
              <w:rPr>
                <w:rFonts w:hint="eastAsia"/>
                <w:szCs w:val="21"/>
              </w:rPr>
              <w:t>磺</w:t>
            </w:r>
            <w:proofErr w:type="gramEnd"/>
            <w:r w:rsidRPr="005A730F">
              <w:rPr>
                <w:rFonts w:hint="eastAsia"/>
                <w:szCs w:val="21"/>
              </w:rPr>
              <w:t>酰</w:t>
            </w:r>
            <w:proofErr w:type="gramStart"/>
            <w:r w:rsidRPr="005A730F">
              <w:rPr>
                <w:rFonts w:hint="eastAsia"/>
                <w:szCs w:val="21"/>
              </w:rPr>
              <w:t>脲</w:t>
            </w:r>
            <w:proofErr w:type="gramEnd"/>
            <w:r w:rsidRPr="005A730F">
              <w:rPr>
                <w:rFonts w:hint="eastAsia"/>
                <w:szCs w:val="21"/>
              </w:rPr>
              <w:t>类</w:t>
            </w:r>
            <w:r w:rsidRPr="005A730F">
              <w:rPr>
                <w:rFonts w:hint="eastAsia"/>
                <w:szCs w:val="21"/>
              </w:rPr>
              <w:t>+</w:t>
            </w:r>
            <w:r w:rsidRPr="005A730F">
              <w:rPr>
                <w:rFonts w:hint="eastAsia"/>
                <w:szCs w:val="21"/>
              </w:rPr>
              <w:t>二甲双</w:t>
            </w:r>
            <w:proofErr w:type="gramStart"/>
            <w:r w:rsidRPr="005A730F">
              <w:rPr>
                <w:rFonts w:hint="eastAsia"/>
                <w:szCs w:val="21"/>
              </w:rPr>
              <w:t>胍</w:t>
            </w:r>
            <w:proofErr w:type="gramEnd"/>
          </w:p>
        </w:tc>
        <w:tc>
          <w:tcPr>
            <w:tcW w:w="1701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0.2(-1.2</w:t>
            </w:r>
            <w:r w:rsidRPr="005A730F">
              <w:rPr>
                <w:rFonts w:hint="eastAsia"/>
                <w:szCs w:val="21"/>
              </w:rPr>
              <w:t>，</w:t>
            </w:r>
            <w:r w:rsidRPr="005A730F">
              <w:rPr>
                <w:rFonts w:hint="eastAsia"/>
                <w:szCs w:val="21"/>
              </w:rPr>
              <w:t>1.6)</w:t>
            </w:r>
          </w:p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n=272</w:t>
            </w:r>
          </w:p>
        </w:tc>
        <w:tc>
          <w:tcPr>
            <w:tcW w:w="1701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2.5(0.8</w:t>
            </w:r>
            <w:r w:rsidRPr="005A730F">
              <w:rPr>
                <w:rFonts w:hint="eastAsia"/>
                <w:szCs w:val="21"/>
              </w:rPr>
              <w:t>，</w:t>
            </w:r>
            <w:r w:rsidRPr="005A730F">
              <w:rPr>
                <w:rFonts w:hint="eastAsia"/>
                <w:szCs w:val="21"/>
              </w:rPr>
              <w:t>4.6)</w:t>
            </w:r>
          </w:p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n=275</w:t>
            </w:r>
          </w:p>
        </w:tc>
        <w:tc>
          <w:tcPr>
            <w:tcW w:w="1701" w:type="dxa"/>
            <w:vAlign w:val="center"/>
          </w:tcPr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4.5(2.4</w:t>
            </w:r>
            <w:r w:rsidRPr="005A730F">
              <w:rPr>
                <w:rFonts w:hint="eastAsia"/>
                <w:szCs w:val="21"/>
              </w:rPr>
              <w:t>，</w:t>
            </w:r>
            <w:r w:rsidRPr="005A730F">
              <w:rPr>
                <w:rFonts w:hint="eastAsia"/>
                <w:szCs w:val="21"/>
              </w:rPr>
              <w:t>7.3)</w:t>
            </w:r>
          </w:p>
          <w:p w:rsidR="0030481B" w:rsidRPr="005A730F" w:rsidRDefault="0030481B" w:rsidP="007F0DA7">
            <w:pPr>
              <w:tabs>
                <w:tab w:val="left" w:pos="1418"/>
              </w:tabs>
              <w:adjustRightInd w:val="0"/>
              <w:snapToGrid w:val="0"/>
              <w:jc w:val="center"/>
              <w:rPr>
                <w:szCs w:val="21"/>
              </w:rPr>
            </w:pPr>
            <w:r w:rsidRPr="005A730F">
              <w:rPr>
                <w:rFonts w:hint="eastAsia"/>
                <w:szCs w:val="21"/>
              </w:rPr>
              <w:t>n=276</w:t>
            </w:r>
          </w:p>
        </w:tc>
      </w:tr>
    </w:tbl>
    <w:p w:rsidR="0030481B" w:rsidRDefault="0030481B" w:rsidP="0030481B">
      <w:pPr>
        <w:spacing w:line="240" w:lineRule="exact"/>
        <w:ind w:firstLineChars="200" w:firstLine="640"/>
        <w:rPr>
          <w:rFonts w:eastAsia="仿宋_GB2312"/>
          <w:sz w:val="32"/>
          <w:szCs w:val="32"/>
        </w:rPr>
      </w:pPr>
    </w:p>
    <w:p w:rsidR="0030481B" w:rsidRPr="005A730F" w:rsidRDefault="0030481B" w:rsidP="0030481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A730F">
        <w:rPr>
          <w:rFonts w:eastAsia="仿宋_GB2312"/>
          <w:sz w:val="32"/>
          <w:szCs w:val="32"/>
        </w:rPr>
        <w:t>罗格列</w:t>
      </w:r>
      <w:proofErr w:type="gramStart"/>
      <w:r w:rsidRPr="005A730F">
        <w:rPr>
          <w:rFonts w:eastAsia="仿宋_GB2312"/>
          <w:sz w:val="32"/>
          <w:szCs w:val="32"/>
        </w:rPr>
        <w:t>酮</w:t>
      </w:r>
      <w:proofErr w:type="gramEnd"/>
      <w:r w:rsidRPr="005A730F">
        <w:rPr>
          <w:rFonts w:eastAsia="仿宋_GB2312"/>
          <w:sz w:val="32"/>
          <w:szCs w:val="32"/>
        </w:rPr>
        <w:t>上市后，临床试验中罕见观察到的体重异常快速增加的报道。出现体重异常增加的患者应评估液体蓄积和容量相关的事件，如过度水肿及充血性心衰。</w:t>
      </w:r>
      <w:r w:rsidRPr="005A730F">
        <w:rPr>
          <w:rFonts w:eastAsia="仿宋_GB2312"/>
          <w:sz w:val="32"/>
          <w:szCs w:val="32"/>
        </w:rPr>
        <w:t> </w:t>
      </w:r>
    </w:p>
    <w:p w:rsidR="0030481B" w:rsidRPr="005A730F" w:rsidRDefault="0030481B" w:rsidP="0030481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A730F">
        <w:rPr>
          <w:rFonts w:eastAsia="仿宋_GB2312"/>
          <w:sz w:val="32"/>
          <w:szCs w:val="32"/>
        </w:rPr>
        <w:t>一项为期</w:t>
      </w:r>
      <w:r w:rsidRPr="005A730F">
        <w:rPr>
          <w:rFonts w:eastAsia="仿宋_GB2312"/>
          <w:sz w:val="32"/>
          <w:szCs w:val="32"/>
        </w:rPr>
        <w:t>4</w:t>
      </w:r>
      <w:r w:rsidRPr="005A730F">
        <w:rPr>
          <w:rFonts w:eastAsia="仿宋_GB2312" w:hint="eastAsia"/>
          <w:sz w:val="32"/>
          <w:szCs w:val="32"/>
        </w:rPr>
        <w:t>—</w:t>
      </w:r>
      <w:r w:rsidRPr="005A730F">
        <w:rPr>
          <w:rFonts w:eastAsia="仿宋_GB2312"/>
          <w:sz w:val="32"/>
          <w:szCs w:val="32"/>
        </w:rPr>
        <w:t>6</w:t>
      </w:r>
      <w:r w:rsidRPr="005A730F">
        <w:rPr>
          <w:rFonts w:eastAsia="仿宋_GB2312"/>
          <w:sz w:val="32"/>
          <w:szCs w:val="32"/>
        </w:rPr>
        <w:t>年的新诊断</w:t>
      </w:r>
      <w:r w:rsidRPr="005A730F">
        <w:rPr>
          <w:rFonts w:eastAsia="仿宋_GB2312"/>
          <w:sz w:val="32"/>
          <w:szCs w:val="32"/>
        </w:rPr>
        <w:t>2</w:t>
      </w:r>
      <w:r w:rsidRPr="005A730F">
        <w:rPr>
          <w:rFonts w:eastAsia="仿宋_GB2312"/>
          <w:sz w:val="32"/>
          <w:szCs w:val="32"/>
        </w:rPr>
        <w:t>型糖尿病患者单药治疗的对照临床试验</w:t>
      </w:r>
      <w:r w:rsidRPr="005A730F">
        <w:rPr>
          <w:rFonts w:eastAsia="仿宋_GB2312"/>
          <w:sz w:val="32"/>
          <w:szCs w:val="32"/>
        </w:rPr>
        <w:t>(ADOPT)</w:t>
      </w:r>
      <w:r w:rsidRPr="005A730F">
        <w:rPr>
          <w:rFonts w:eastAsia="仿宋_GB2312"/>
          <w:sz w:val="32"/>
          <w:szCs w:val="32"/>
        </w:rPr>
        <w:t>中，患者之前未接受抗糖尿病药物治疗，第</w:t>
      </w:r>
      <w:r w:rsidRPr="005A730F">
        <w:rPr>
          <w:rFonts w:eastAsia="仿宋_GB2312"/>
          <w:sz w:val="32"/>
          <w:szCs w:val="32"/>
        </w:rPr>
        <w:t>4</w:t>
      </w:r>
      <w:r w:rsidRPr="005A730F">
        <w:rPr>
          <w:rFonts w:eastAsia="仿宋_GB2312"/>
          <w:sz w:val="32"/>
          <w:szCs w:val="32"/>
        </w:rPr>
        <w:t>年时与基线相</w:t>
      </w:r>
      <w:bookmarkStart w:id="3" w:name="_GoBack"/>
      <w:bookmarkEnd w:id="3"/>
      <w:r w:rsidRPr="005A730F">
        <w:rPr>
          <w:rFonts w:eastAsia="仿宋_GB2312"/>
          <w:sz w:val="32"/>
          <w:szCs w:val="32"/>
        </w:rPr>
        <w:t>比，服用罗格列酮的患者体重增加值的中位数为</w:t>
      </w:r>
      <w:r w:rsidRPr="005A730F">
        <w:rPr>
          <w:rFonts w:eastAsia="仿宋_GB2312"/>
          <w:sz w:val="32"/>
          <w:szCs w:val="32"/>
        </w:rPr>
        <w:t>3.5kg</w:t>
      </w:r>
      <w:r w:rsidRPr="005A730F">
        <w:rPr>
          <w:rFonts w:eastAsia="仿宋_GB2312"/>
          <w:sz w:val="32"/>
          <w:szCs w:val="32"/>
        </w:rPr>
        <w:t>（</w:t>
      </w:r>
      <w:bookmarkStart w:id="4" w:name="OLE_LINK4"/>
      <w:r w:rsidRPr="005A730F">
        <w:rPr>
          <w:rFonts w:eastAsia="仿宋_GB2312"/>
          <w:sz w:val="32"/>
          <w:szCs w:val="32"/>
        </w:rPr>
        <w:t>上下四分位数分别为</w:t>
      </w:r>
      <w:bookmarkEnd w:id="4"/>
      <w:r w:rsidRPr="005A730F">
        <w:rPr>
          <w:rFonts w:eastAsia="仿宋_GB2312"/>
          <w:sz w:val="32"/>
          <w:szCs w:val="32"/>
        </w:rPr>
        <w:t>：</w:t>
      </w:r>
      <w:r w:rsidRPr="005A730F">
        <w:rPr>
          <w:rFonts w:eastAsia="仿宋_GB2312"/>
          <w:sz w:val="32"/>
          <w:szCs w:val="32"/>
        </w:rPr>
        <w:t>0.0</w:t>
      </w:r>
      <w:r w:rsidRPr="005A730F">
        <w:rPr>
          <w:rFonts w:eastAsia="仿宋_GB2312"/>
          <w:sz w:val="32"/>
          <w:szCs w:val="32"/>
        </w:rPr>
        <w:t>，</w:t>
      </w:r>
      <w:r w:rsidRPr="005A730F">
        <w:rPr>
          <w:rFonts w:eastAsia="仿宋_GB2312"/>
          <w:sz w:val="32"/>
          <w:szCs w:val="32"/>
        </w:rPr>
        <w:t>8.1</w:t>
      </w:r>
      <w:r w:rsidRPr="005A730F">
        <w:rPr>
          <w:rFonts w:eastAsia="仿宋_GB2312"/>
          <w:sz w:val="32"/>
          <w:szCs w:val="32"/>
        </w:rPr>
        <w:t>），服用格列本</w:t>
      </w:r>
      <w:proofErr w:type="gramStart"/>
      <w:r w:rsidRPr="005A730F">
        <w:rPr>
          <w:rFonts w:eastAsia="仿宋_GB2312"/>
          <w:sz w:val="32"/>
          <w:szCs w:val="32"/>
        </w:rPr>
        <w:t>脲</w:t>
      </w:r>
      <w:proofErr w:type="gramEnd"/>
      <w:r w:rsidRPr="005A730F">
        <w:rPr>
          <w:rFonts w:eastAsia="仿宋_GB2312"/>
          <w:sz w:val="32"/>
          <w:szCs w:val="32"/>
        </w:rPr>
        <w:t>的患者体重增加值的中位数为</w:t>
      </w:r>
      <w:r w:rsidRPr="005A730F">
        <w:rPr>
          <w:rFonts w:eastAsia="仿宋_GB2312"/>
          <w:sz w:val="32"/>
          <w:szCs w:val="32"/>
        </w:rPr>
        <w:t>2.0kg</w:t>
      </w:r>
      <w:r w:rsidRPr="005A730F">
        <w:rPr>
          <w:rFonts w:eastAsia="仿宋_GB2312"/>
          <w:sz w:val="32"/>
          <w:szCs w:val="32"/>
        </w:rPr>
        <w:t>（上下四分位数</w:t>
      </w:r>
      <w:r w:rsidRPr="005A730F">
        <w:rPr>
          <w:rFonts w:eastAsia="仿宋_GB2312"/>
          <w:sz w:val="32"/>
          <w:szCs w:val="32"/>
        </w:rPr>
        <w:lastRenderedPageBreak/>
        <w:t>分别为：</w:t>
      </w:r>
      <w:r w:rsidRPr="005A730F">
        <w:rPr>
          <w:rFonts w:eastAsia="仿宋_GB2312"/>
          <w:sz w:val="32"/>
          <w:szCs w:val="32"/>
        </w:rPr>
        <w:t>-1.0</w:t>
      </w:r>
      <w:r w:rsidRPr="005A730F">
        <w:rPr>
          <w:rFonts w:eastAsia="仿宋_GB2312"/>
          <w:sz w:val="32"/>
          <w:szCs w:val="32"/>
        </w:rPr>
        <w:t>，</w:t>
      </w:r>
      <w:r w:rsidRPr="005A730F">
        <w:rPr>
          <w:rFonts w:eastAsia="仿宋_GB2312"/>
          <w:sz w:val="32"/>
          <w:szCs w:val="32"/>
        </w:rPr>
        <w:t>4.8</w:t>
      </w:r>
      <w:r w:rsidRPr="005A730F">
        <w:rPr>
          <w:rFonts w:eastAsia="仿宋_GB2312"/>
          <w:sz w:val="32"/>
          <w:szCs w:val="32"/>
        </w:rPr>
        <w:t>），服用二甲双</w:t>
      </w:r>
      <w:proofErr w:type="gramStart"/>
      <w:r w:rsidRPr="005A730F">
        <w:rPr>
          <w:rFonts w:eastAsia="仿宋_GB2312"/>
          <w:sz w:val="32"/>
          <w:szCs w:val="32"/>
        </w:rPr>
        <w:t>胍</w:t>
      </w:r>
      <w:proofErr w:type="gramEnd"/>
      <w:r w:rsidRPr="005A730F">
        <w:rPr>
          <w:rFonts w:eastAsia="仿宋_GB2312"/>
          <w:sz w:val="32"/>
          <w:szCs w:val="32"/>
        </w:rPr>
        <w:t>的患者体重增加值的中位数为</w:t>
      </w:r>
      <w:r w:rsidRPr="005A730F">
        <w:rPr>
          <w:rFonts w:eastAsia="仿宋_GB2312"/>
          <w:sz w:val="32"/>
          <w:szCs w:val="32"/>
        </w:rPr>
        <w:t>-2.4kg</w:t>
      </w:r>
      <w:r w:rsidRPr="005A730F">
        <w:rPr>
          <w:rFonts w:eastAsia="仿宋_GB2312"/>
          <w:sz w:val="32"/>
          <w:szCs w:val="32"/>
        </w:rPr>
        <w:t>（上下四分位数分别为：</w:t>
      </w:r>
      <w:r w:rsidRPr="005A730F">
        <w:rPr>
          <w:rFonts w:eastAsia="仿宋_GB2312"/>
          <w:sz w:val="32"/>
          <w:szCs w:val="32"/>
        </w:rPr>
        <w:t>-5.4</w:t>
      </w:r>
      <w:r w:rsidRPr="005A730F">
        <w:rPr>
          <w:rFonts w:eastAsia="仿宋_GB2312"/>
          <w:sz w:val="32"/>
          <w:szCs w:val="32"/>
        </w:rPr>
        <w:t>、</w:t>
      </w:r>
      <w:r w:rsidRPr="005A730F">
        <w:rPr>
          <w:rFonts w:eastAsia="仿宋_GB2312"/>
          <w:sz w:val="32"/>
          <w:szCs w:val="32"/>
        </w:rPr>
        <w:t>0.5</w:t>
      </w:r>
      <w:r w:rsidRPr="005A730F">
        <w:rPr>
          <w:rFonts w:eastAsia="仿宋_GB2312"/>
          <w:sz w:val="32"/>
          <w:szCs w:val="32"/>
        </w:rPr>
        <w:t>）。</w:t>
      </w:r>
      <w:r w:rsidRPr="005A730F">
        <w:rPr>
          <w:rFonts w:eastAsia="仿宋_GB2312"/>
          <w:sz w:val="32"/>
          <w:szCs w:val="32"/>
        </w:rPr>
        <w:t> </w:t>
      </w:r>
      <w:r w:rsidRPr="005A730F">
        <w:rPr>
          <w:rFonts w:eastAsia="仿宋_GB2312"/>
          <w:sz w:val="32"/>
          <w:szCs w:val="32"/>
        </w:rPr>
        <w:br/>
        <w:t xml:space="preserve">    </w:t>
      </w:r>
      <w:r w:rsidRPr="0030481B">
        <w:rPr>
          <w:rFonts w:eastAsia="仿宋_GB2312" w:hint="eastAsia"/>
          <w:spacing w:val="8"/>
          <w:sz w:val="32"/>
          <w:szCs w:val="32"/>
        </w:rPr>
        <w:t>在为期</w:t>
      </w:r>
      <w:r w:rsidRPr="0030481B">
        <w:rPr>
          <w:rFonts w:eastAsia="仿宋_GB2312"/>
          <w:spacing w:val="8"/>
          <w:sz w:val="32"/>
          <w:szCs w:val="32"/>
        </w:rPr>
        <w:t>24</w:t>
      </w:r>
      <w:r w:rsidRPr="0030481B">
        <w:rPr>
          <w:rFonts w:eastAsia="仿宋_GB2312" w:hint="eastAsia"/>
          <w:spacing w:val="8"/>
          <w:sz w:val="32"/>
          <w:szCs w:val="32"/>
        </w:rPr>
        <w:t>周的儿科研究中，</w:t>
      </w:r>
      <w:r w:rsidRPr="0030481B">
        <w:rPr>
          <w:rFonts w:eastAsia="仿宋_GB2312"/>
          <w:spacing w:val="8"/>
          <w:sz w:val="32"/>
          <w:szCs w:val="32"/>
        </w:rPr>
        <w:t>10</w:t>
      </w:r>
      <w:r w:rsidRPr="0030481B">
        <w:rPr>
          <w:rFonts w:eastAsia="仿宋_GB2312" w:hint="eastAsia"/>
          <w:spacing w:val="8"/>
          <w:sz w:val="32"/>
          <w:szCs w:val="32"/>
        </w:rPr>
        <w:t>—</w:t>
      </w:r>
      <w:r w:rsidRPr="0030481B">
        <w:rPr>
          <w:rFonts w:eastAsia="仿宋_GB2312"/>
          <w:spacing w:val="8"/>
          <w:sz w:val="32"/>
          <w:szCs w:val="32"/>
        </w:rPr>
        <w:t>17</w:t>
      </w:r>
      <w:r w:rsidRPr="0030481B">
        <w:rPr>
          <w:rFonts w:eastAsia="仿宋_GB2312" w:hint="eastAsia"/>
          <w:spacing w:val="8"/>
          <w:sz w:val="32"/>
          <w:szCs w:val="32"/>
        </w:rPr>
        <w:t>岁的患者用罗格列酮</w:t>
      </w:r>
      <w:r w:rsidRPr="005A730F"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—</w:t>
      </w:r>
      <w:r w:rsidRPr="005A730F">
        <w:rPr>
          <w:rFonts w:eastAsia="仿宋_GB2312"/>
          <w:sz w:val="32"/>
          <w:szCs w:val="32"/>
        </w:rPr>
        <w:t>8mg</w:t>
      </w:r>
      <w:r w:rsidRPr="005A730F">
        <w:rPr>
          <w:rFonts w:eastAsia="仿宋_GB2312"/>
          <w:sz w:val="32"/>
          <w:szCs w:val="32"/>
        </w:rPr>
        <w:t>每日一次进行治疗，报告体重增加值的中位数为</w:t>
      </w:r>
      <w:r w:rsidRPr="005A730F">
        <w:rPr>
          <w:rFonts w:eastAsia="仿宋_GB2312"/>
          <w:sz w:val="32"/>
          <w:szCs w:val="32"/>
        </w:rPr>
        <w:t>2.8kg</w:t>
      </w:r>
      <w:r w:rsidRPr="005A730F">
        <w:rPr>
          <w:rFonts w:eastAsia="仿宋_GB2312"/>
          <w:sz w:val="32"/>
          <w:szCs w:val="32"/>
        </w:rPr>
        <w:t>（上下四分位数分别为：</w:t>
      </w:r>
      <w:r w:rsidRPr="005A730F">
        <w:rPr>
          <w:rFonts w:eastAsia="仿宋_GB2312"/>
          <w:sz w:val="32"/>
          <w:szCs w:val="32"/>
        </w:rPr>
        <w:t>0.0</w:t>
      </w:r>
      <w:r w:rsidRPr="005A730F">
        <w:rPr>
          <w:rFonts w:eastAsia="仿宋_GB2312"/>
          <w:sz w:val="32"/>
          <w:szCs w:val="32"/>
        </w:rPr>
        <w:t>，</w:t>
      </w:r>
      <w:r w:rsidRPr="005A730F">
        <w:rPr>
          <w:rFonts w:eastAsia="仿宋_GB2312"/>
          <w:sz w:val="32"/>
          <w:szCs w:val="32"/>
        </w:rPr>
        <w:t>5.8</w:t>
      </w:r>
      <w:r w:rsidRPr="005A730F">
        <w:rPr>
          <w:rFonts w:eastAsia="仿宋_GB2312"/>
          <w:sz w:val="32"/>
          <w:szCs w:val="32"/>
        </w:rPr>
        <w:t>）。</w:t>
      </w:r>
      <w:r w:rsidRPr="005A730F">
        <w:rPr>
          <w:rFonts w:eastAsia="仿宋_GB2312"/>
          <w:sz w:val="32"/>
          <w:szCs w:val="32"/>
        </w:rPr>
        <w:t> </w:t>
      </w:r>
    </w:p>
    <w:p w:rsidR="0030481B" w:rsidRPr="005A730F" w:rsidRDefault="0030481B" w:rsidP="0030481B">
      <w:pPr>
        <w:spacing w:line="560" w:lineRule="exact"/>
        <w:ind w:firstLineChars="200" w:firstLine="640"/>
        <w:rPr>
          <w:rFonts w:eastAsia="楷体_GB2312"/>
          <w:bCs/>
          <w:sz w:val="32"/>
          <w:szCs w:val="32"/>
        </w:rPr>
      </w:pPr>
      <w:r w:rsidRPr="005A730F">
        <w:rPr>
          <w:rFonts w:eastAsia="楷体_GB2312"/>
          <w:bCs/>
          <w:sz w:val="32"/>
          <w:szCs w:val="32"/>
        </w:rPr>
        <w:t>5</w:t>
      </w:r>
      <w:r w:rsidRPr="005A730F">
        <w:rPr>
          <w:rFonts w:eastAsia="楷体_GB2312" w:hint="eastAsia"/>
          <w:bCs/>
          <w:sz w:val="32"/>
          <w:szCs w:val="32"/>
        </w:rPr>
        <w:t>.</w:t>
      </w:r>
      <w:r w:rsidRPr="005A730F">
        <w:rPr>
          <w:rFonts w:eastAsia="楷体_GB2312"/>
          <w:bCs/>
          <w:sz w:val="32"/>
          <w:szCs w:val="32"/>
        </w:rPr>
        <w:t>肝脏反应</w:t>
      </w:r>
    </w:p>
    <w:p w:rsidR="0030481B" w:rsidRPr="005A730F" w:rsidRDefault="0030481B" w:rsidP="0030481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A730F">
        <w:rPr>
          <w:rFonts w:eastAsia="仿宋_GB2312"/>
          <w:sz w:val="32"/>
          <w:szCs w:val="32"/>
        </w:rPr>
        <w:t>患者开始服用</w:t>
      </w:r>
      <w:proofErr w:type="gramStart"/>
      <w:r w:rsidRPr="005A730F">
        <w:rPr>
          <w:rFonts w:eastAsia="仿宋_GB2312"/>
          <w:sz w:val="32"/>
          <w:szCs w:val="32"/>
        </w:rPr>
        <w:t>罗格列酮前应</w:t>
      </w:r>
      <w:proofErr w:type="gramEnd"/>
      <w:r w:rsidRPr="005A730F">
        <w:rPr>
          <w:rFonts w:eastAsia="仿宋_GB2312"/>
          <w:sz w:val="32"/>
          <w:szCs w:val="32"/>
        </w:rPr>
        <w:t>检测肝脏转氨酶，服药后根据医嘱定期复查肝酶。若</w:t>
      </w:r>
      <w:r w:rsidRPr="005A730F">
        <w:rPr>
          <w:rFonts w:eastAsia="仿宋_GB2312"/>
          <w:sz w:val="32"/>
          <w:szCs w:val="32"/>
        </w:rPr>
        <w:t>2</w:t>
      </w:r>
      <w:r w:rsidRPr="005A730F">
        <w:rPr>
          <w:rFonts w:eastAsia="仿宋_GB2312"/>
          <w:sz w:val="32"/>
          <w:szCs w:val="32"/>
        </w:rPr>
        <w:t>型糖尿病患者血清转氨酶升高（</w:t>
      </w:r>
      <w:r w:rsidRPr="005A730F">
        <w:rPr>
          <w:rFonts w:eastAsia="仿宋_GB2312"/>
          <w:sz w:val="32"/>
          <w:szCs w:val="32"/>
        </w:rPr>
        <w:t>ALT</w:t>
      </w:r>
      <w:r w:rsidRPr="005A730F">
        <w:rPr>
          <w:rFonts w:eastAsia="仿宋_GB2312"/>
          <w:sz w:val="32"/>
          <w:szCs w:val="32"/>
        </w:rPr>
        <w:t>＞正常上限的</w:t>
      </w:r>
      <w:r w:rsidRPr="005A730F">
        <w:rPr>
          <w:rFonts w:eastAsia="仿宋_GB2312"/>
          <w:sz w:val="32"/>
          <w:szCs w:val="32"/>
        </w:rPr>
        <w:t>2.5</w:t>
      </w:r>
      <w:r w:rsidRPr="005A730F">
        <w:rPr>
          <w:rFonts w:eastAsia="仿宋_GB2312"/>
          <w:sz w:val="32"/>
          <w:szCs w:val="32"/>
        </w:rPr>
        <w:t>倍时），则不应服用罗格列酮。对于罗格列</w:t>
      </w:r>
      <w:proofErr w:type="gramStart"/>
      <w:r w:rsidRPr="005A730F">
        <w:rPr>
          <w:rFonts w:eastAsia="仿宋_GB2312"/>
          <w:sz w:val="32"/>
          <w:szCs w:val="32"/>
        </w:rPr>
        <w:t>酮</w:t>
      </w:r>
      <w:proofErr w:type="gramEnd"/>
      <w:r w:rsidRPr="005A730F">
        <w:rPr>
          <w:rFonts w:eastAsia="仿宋_GB2312"/>
          <w:sz w:val="32"/>
          <w:szCs w:val="32"/>
        </w:rPr>
        <w:t>治疗前或治疗</w:t>
      </w:r>
      <w:proofErr w:type="gramStart"/>
      <w:r w:rsidRPr="005A730F">
        <w:rPr>
          <w:rFonts w:eastAsia="仿宋_GB2312"/>
          <w:sz w:val="32"/>
          <w:szCs w:val="32"/>
        </w:rPr>
        <w:t>中肝酶略高</w:t>
      </w:r>
      <w:proofErr w:type="gramEnd"/>
      <w:r w:rsidRPr="005A730F">
        <w:rPr>
          <w:rFonts w:eastAsia="仿宋_GB2312"/>
          <w:sz w:val="32"/>
          <w:szCs w:val="32"/>
        </w:rPr>
        <w:t>(ALT≤2.5</w:t>
      </w:r>
      <w:r w:rsidRPr="005A730F">
        <w:rPr>
          <w:rFonts w:eastAsia="仿宋_GB2312"/>
          <w:sz w:val="32"/>
          <w:szCs w:val="32"/>
        </w:rPr>
        <w:t>倍正常上限</w:t>
      </w:r>
      <w:r w:rsidRPr="005A730F">
        <w:rPr>
          <w:rFonts w:eastAsia="仿宋_GB2312"/>
          <w:sz w:val="32"/>
          <w:szCs w:val="32"/>
        </w:rPr>
        <w:t>)</w:t>
      </w:r>
      <w:r w:rsidRPr="005A730F">
        <w:rPr>
          <w:rFonts w:eastAsia="仿宋_GB2312"/>
          <w:sz w:val="32"/>
          <w:szCs w:val="32"/>
        </w:rPr>
        <w:t>的患者，应分析</w:t>
      </w:r>
      <w:proofErr w:type="gramStart"/>
      <w:r w:rsidRPr="005A730F">
        <w:rPr>
          <w:rFonts w:eastAsia="仿宋_GB2312"/>
          <w:sz w:val="32"/>
          <w:szCs w:val="32"/>
        </w:rPr>
        <w:t>其肝酶升高</w:t>
      </w:r>
      <w:proofErr w:type="gramEnd"/>
      <w:r w:rsidRPr="005A730F">
        <w:rPr>
          <w:rFonts w:eastAsia="仿宋_GB2312"/>
          <w:sz w:val="32"/>
          <w:szCs w:val="32"/>
        </w:rPr>
        <w:t>的原因。</w:t>
      </w:r>
      <w:proofErr w:type="gramStart"/>
      <w:r w:rsidRPr="005A730F">
        <w:rPr>
          <w:rFonts w:eastAsia="仿宋_GB2312"/>
          <w:sz w:val="32"/>
          <w:szCs w:val="32"/>
        </w:rPr>
        <w:t>对肝酶轻度</w:t>
      </w:r>
      <w:proofErr w:type="gramEnd"/>
      <w:r w:rsidRPr="005A730F">
        <w:rPr>
          <w:rFonts w:eastAsia="仿宋_GB2312"/>
          <w:sz w:val="32"/>
          <w:szCs w:val="32"/>
        </w:rPr>
        <w:t>升高的患者，服用</w:t>
      </w:r>
      <w:proofErr w:type="gramStart"/>
      <w:r w:rsidRPr="005A730F">
        <w:rPr>
          <w:rFonts w:eastAsia="仿宋_GB2312"/>
          <w:sz w:val="32"/>
          <w:szCs w:val="32"/>
        </w:rPr>
        <w:t>罗格列酮应慎重</w:t>
      </w:r>
      <w:proofErr w:type="gramEnd"/>
      <w:r w:rsidRPr="005A730F">
        <w:rPr>
          <w:rFonts w:eastAsia="仿宋_GB2312"/>
          <w:sz w:val="32"/>
          <w:szCs w:val="32"/>
        </w:rPr>
        <w:t>，适当缩短临床随访时间，检测肝脏转氨酶，以</w:t>
      </w:r>
      <w:proofErr w:type="gramStart"/>
      <w:r w:rsidRPr="005A730F">
        <w:rPr>
          <w:rFonts w:eastAsia="仿宋_GB2312"/>
          <w:sz w:val="32"/>
          <w:szCs w:val="32"/>
        </w:rPr>
        <w:t>确定肝酶升高</w:t>
      </w:r>
      <w:proofErr w:type="gramEnd"/>
      <w:r w:rsidRPr="005A730F">
        <w:rPr>
          <w:rFonts w:eastAsia="仿宋_GB2312"/>
          <w:sz w:val="32"/>
          <w:szCs w:val="32"/>
        </w:rPr>
        <w:t>是否缓解或加重。如果服用罗格列酮的患者</w:t>
      </w:r>
      <w:r w:rsidRPr="005A730F">
        <w:rPr>
          <w:rFonts w:eastAsia="仿宋_GB2312"/>
          <w:sz w:val="32"/>
          <w:szCs w:val="32"/>
        </w:rPr>
        <w:t>ALT</w:t>
      </w:r>
      <w:r w:rsidRPr="005A730F">
        <w:rPr>
          <w:rFonts w:eastAsia="仿宋_GB2312"/>
          <w:sz w:val="32"/>
          <w:szCs w:val="32"/>
        </w:rPr>
        <w:t>大于正常上限</w:t>
      </w:r>
      <w:r w:rsidRPr="005A730F">
        <w:rPr>
          <w:rFonts w:eastAsia="仿宋_GB2312"/>
          <w:sz w:val="32"/>
          <w:szCs w:val="32"/>
        </w:rPr>
        <w:t>3</w:t>
      </w:r>
      <w:r w:rsidRPr="005A730F">
        <w:rPr>
          <w:rFonts w:eastAsia="仿宋_GB2312"/>
          <w:sz w:val="32"/>
          <w:szCs w:val="32"/>
        </w:rPr>
        <w:t>倍时，则需尽快复查肝酶。若复查结果</w:t>
      </w:r>
      <w:proofErr w:type="gramStart"/>
      <w:r w:rsidRPr="005A730F">
        <w:rPr>
          <w:rFonts w:eastAsia="仿宋_GB2312"/>
          <w:sz w:val="32"/>
          <w:szCs w:val="32"/>
        </w:rPr>
        <w:t>肝酶仍</w:t>
      </w:r>
      <w:proofErr w:type="gramEnd"/>
      <w:r w:rsidRPr="005A730F">
        <w:rPr>
          <w:rFonts w:eastAsia="仿宋_GB2312"/>
          <w:sz w:val="32"/>
          <w:szCs w:val="32"/>
        </w:rPr>
        <w:t>大于正常值上限</w:t>
      </w:r>
      <w:r w:rsidRPr="005A730F">
        <w:rPr>
          <w:rFonts w:eastAsia="仿宋_GB2312"/>
          <w:sz w:val="32"/>
          <w:szCs w:val="32"/>
        </w:rPr>
        <w:t>3</w:t>
      </w:r>
      <w:r w:rsidRPr="005A730F">
        <w:rPr>
          <w:rFonts w:eastAsia="仿宋_GB2312"/>
          <w:sz w:val="32"/>
          <w:szCs w:val="32"/>
        </w:rPr>
        <w:t>倍以上时，则应停止服用罗格列酮。</w:t>
      </w:r>
      <w:r w:rsidRPr="005A730F">
        <w:rPr>
          <w:rFonts w:eastAsia="仿宋_GB2312"/>
          <w:sz w:val="32"/>
          <w:szCs w:val="32"/>
        </w:rPr>
        <w:t> </w:t>
      </w:r>
    </w:p>
    <w:p w:rsidR="0030481B" w:rsidRPr="005A730F" w:rsidRDefault="0030481B" w:rsidP="0030481B">
      <w:pPr>
        <w:spacing w:line="560" w:lineRule="exact"/>
        <w:ind w:firstLineChars="200" w:firstLine="616"/>
        <w:rPr>
          <w:rFonts w:eastAsia="仿宋_GB2312"/>
          <w:spacing w:val="-6"/>
          <w:sz w:val="32"/>
          <w:szCs w:val="32"/>
        </w:rPr>
      </w:pPr>
      <w:r w:rsidRPr="005A730F">
        <w:rPr>
          <w:rFonts w:eastAsia="仿宋_GB2312"/>
          <w:spacing w:val="-6"/>
          <w:sz w:val="32"/>
          <w:szCs w:val="32"/>
        </w:rPr>
        <w:t>如果患者出现肝功能异常征兆，如不明原因的恶心、呕吐、腹痛、乏力、厌食或尿色加深，应检测肝酶。是否继续使用罗格列</w:t>
      </w:r>
      <w:proofErr w:type="gramStart"/>
      <w:r w:rsidRPr="005A730F">
        <w:rPr>
          <w:rFonts w:eastAsia="仿宋_GB2312"/>
          <w:spacing w:val="-6"/>
          <w:sz w:val="32"/>
          <w:szCs w:val="32"/>
        </w:rPr>
        <w:t>酮</w:t>
      </w:r>
      <w:proofErr w:type="gramEnd"/>
      <w:r w:rsidRPr="005A730F">
        <w:rPr>
          <w:rFonts w:eastAsia="仿宋_GB2312"/>
          <w:spacing w:val="-6"/>
          <w:sz w:val="32"/>
          <w:szCs w:val="32"/>
        </w:rPr>
        <w:t>治疗取决于临床及实验室数据结果评价。如出现黄疸，则需停药。</w:t>
      </w:r>
    </w:p>
    <w:p w:rsidR="0030481B" w:rsidRPr="005A730F" w:rsidRDefault="0030481B" w:rsidP="0030481B">
      <w:pPr>
        <w:spacing w:line="560" w:lineRule="exact"/>
        <w:ind w:firstLineChars="200" w:firstLine="640"/>
        <w:rPr>
          <w:rFonts w:eastAsia="楷体_GB2312"/>
          <w:bCs/>
          <w:sz w:val="32"/>
          <w:szCs w:val="32"/>
        </w:rPr>
      </w:pPr>
      <w:r w:rsidRPr="005A730F">
        <w:rPr>
          <w:rFonts w:eastAsia="楷体_GB2312"/>
          <w:bCs/>
          <w:sz w:val="32"/>
          <w:szCs w:val="32"/>
        </w:rPr>
        <w:t>6</w:t>
      </w:r>
      <w:r w:rsidRPr="005A730F">
        <w:rPr>
          <w:rFonts w:eastAsia="楷体_GB2312" w:hint="eastAsia"/>
          <w:bCs/>
          <w:sz w:val="32"/>
          <w:szCs w:val="32"/>
        </w:rPr>
        <w:t>.</w:t>
      </w:r>
      <w:r w:rsidRPr="005A730F">
        <w:rPr>
          <w:rFonts w:eastAsia="楷体_GB2312"/>
          <w:bCs/>
          <w:sz w:val="32"/>
          <w:szCs w:val="32"/>
        </w:rPr>
        <w:t>黄斑水肿</w:t>
      </w:r>
    </w:p>
    <w:p w:rsidR="0030481B" w:rsidRPr="005A730F" w:rsidRDefault="0030481B" w:rsidP="0030481B">
      <w:pPr>
        <w:spacing w:line="560" w:lineRule="exact"/>
        <w:ind w:firstLineChars="200" w:firstLine="640"/>
        <w:rPr>
          <w:rFonts w:eastAsia="楷体_GB2312"/>
          <w:bCs/>
          <w:sz w:val="32"/>
          <w:szCs w:val="32"/>
        </w:rPr>
      </w:pPr>
      <w:r w:rsidRPr="005A730F">
        <w:rPr>
          <w:rFonts w:eastAsia="仿宋_GB2312"/>
          <w:sz w:val="32"/>
          <w:szCs w:val="32"/>
        </w:rPr>
        <w:t>上市后在一些服用罗格列酮或</w:t>
      </w:r>
      <w:proofErr w:type="gramStart"/>
      <w:r w:rsidRPr="005A730F">
        <w:rPr>
          <w:rFonts w:eastAsia="仿宋_GB2312"/>
          <w:sz w:val="32"/>
          <w:szCs w:val="32"/>
        </w:rPr>
        <w:t>噻唑烷二酮</w:t>
      </w:r>
      <w:proofErr w:type="gramEnd"/>
      <w:r w:rsidRPr="005A730F">
        <w:rPr>
          <w:rFonts w:eastAsia="仿宋_GB2312"/>
          <w:sz w:val="32"/>
          <w:szCs w:val="32"/>
        </w:rPr>
        <w:t>类药物的</w:t>
      </w:r>
      <w:r w:rsidRPr="005A730F">
        <w:rPr>
          <w:rFonts w:eastAsia="仿宋_GB2312"/>
          <w:sz w:val="32"/>
          <w:szCs w:val="32"/>
        </w:rPr>
        <w:t>2</w:t>
      </w:r>
      <w:r w:rsidRPr="005A730F">
        <w:rPr>
          <w:rFonts w:eastAsia="仿宋_GB2312"/>
          <w:sz w:val="32"/>
          <w:szCs w:val="32"/>
        </w:rPr>
        <w:t>型糖尿病患者中，报告了黄斑水肿。一些患者主诉视物模糊和视力下降，但是一些患者是经常规眼科检查所诊断。在黄斑</w:t>
      </w:r>
      <w:r w:rsidRPr="005A730F">
        <w:rPr>
          <w:rFonts w:eastAsia="仿宋_GB2312"/>
          <w:sz w:val="32"/>
          <w:szCs w:val="32"/>
        </w:rPr>
        <w:lastRenderedPageBreak/>
        <w:t>水肿诊断时，大多数患者伴有外周水肿。一些患者停服</w:t>
      </w:r>
      <w:proofErr w:type="gramStart"/>
      <w:r w:rsidRPr="005A730F">
        <w:rPr>
          <w:rFonts w:eastAsia="仿宋_GB2312"/>
          <w:sz w:val="32"/>
          <w:szCs w:val="32"/>
        </w:rPr>
        <w:t>噻唑烷二酮</w:t>
      </w:r>
      <w:proofErr w:type="gramEnd"/>
      <w:r w:rsidRPr="005A730F">
        <w:rPr>
          <w:rFonts w:eastAsia="仿宋_GB2312"/>
          <w:sz w:val="32"/>
          <w:szCs w:val="32"/>
        </w:rPr>
        <w:t>类药物后，黄斑水肿改善。糖尿病患者应该进行常规的眼科检查。另外，如果糖尿病患者出现视力障碍，应该立即去眼科就诊。</w:t>
      </w:r>
      <w:r w:rsidRPr="005A730F">
        <w:rPr>
          <w:rFonts w:eastAsia="仿宋_GB2312"/>
          <w:sz w:val="32"/>
          <w:szCs w:val="32"/>
        </w:rPr>
        <w:t> </w:t>
      </w:r>
      <w:r w:rsidRPr="005A730F">
        <w:rPr>
          <w:rFonts w:eastAsia="仿宋_GB2312"/>
          <w:sz w:val="32"/>
          <w:szCs w:val="32"/>
        </w:rPr>
        <w:br/>
      </w:r>
      <w:r w:rsidRPr="005A730F">
        <w:rPr>
          <w:rFonts w:eastAsia="楷体_GB2312"/>
          <w:bCs/>
          <w:sz w:val="32"/>
          <w:szCs w:val="32"/>
        </w:rPr>
        <w:t xml:space="preserve">    7.</w:t>
      </w:r>
      <w:r w:rsidRPr="005A730F">
        <w:rPr>
          <w:rFonts w:eastAsia="楷体_GB2312"/>
          <w:bCs/>
          <w:sz w:val="32"/>
          <w:szCs w:val="32"/>
        </w:rPr>
        <w:t>骨折</w:t>
      </w:r>
    </w:p>
    <w:p w:rsidR="0030481B" w:rsidRPr="005A730F" w:rsidRDefault="0030481B" w:rsidP="0030481B">
      <w:pPr>
        <w:spacing w:line="560" w:lineRule="exact"/>
        <w:ind w:firstLineChars="200" w:firstLine="640"/>
        <w:rPr>
          <w:rFonts w:eastAsia="楷体_GB2312"/>
          <w:bCs/>
          <w:sz w:val="32"/>
          <w:szCs w:val="32"/>
        </w:rPr>
      </w:pPr>
      <w:r w:rsidRPr="005A730F">
        <w:rPr>
          <w:rFonts w:eastAsia="仿宋_GB2312"/>
          <w:sz w:val="32"/>
          <w:szCs w:val="32"/>
        </w:rPr>
        <w:t>长期研究（</w:t>
      </w:r>
      <w:r w:rsidRPr="005A730F">
        <w:rPr>
          <w:rFonts w:eastAsia="仿宋_GB2312"/>
          <w:sz w:val="32"/>
          <w:szCs w:val="32"/>
        </w:rPr>
        <w:t>ADOPT</w:t>
      </w:r>
      <w:r w:rsidRPr="005A730F">
        <w:rPr>
          <w:rFonts w:eastAsia="仿宋_GB2312"/>
          <w:sz w:val="32"/>
          <w:szCs w:val="32"/>
        </w:rPr>
        <w:t>和</w:t>
      </w:r>
      <w:r w:rsidRPr="005A730F">
        <w:rPr>
          <w:rFonts w:eastAsia="仿宋_GB2312"/>
          <w:sz w:val="32"/>
          <w:szCs w:val="32"/>
        </w:rPr>
        <w:t>RECORD</w:t>
      </w:r>
      <w:r w:rsidRPr="005A730F">
        <w:rPr>
          <w:rFonts w:eastAsia="仿宋_GB2312"/>
          <w:sz w:val="32"/>
          <w:szCs w:val="32"/>
        </w:rPr>
        <w:t>）显示，服用罗格列酮的患者骨折发生率升高，特别是女性患者。发生率的升高主要见于服用罗格列</w:t>
      </w:r>
      <w:proofErr w:type="gramStart"/>
      <w:r w:rsidRPr="005A730F">
        <w:rPr>
          <w:rFonts w:eastAsia="仿宋_GB2312"/>
          <w:sz w:val="32"/>
          <w:szCs w:val="32"/>
        </w:rPr>
        <w:t>酮</w:t>
      </w:r>
      <w:proofErr w:type="gramEnd"/>
      <w:r w:rsidRPr="005A730F">
        <w:rPr>
          <w:rFonts w:eastAsia="仿宋_GB2312"/>
          <w:sz w:val="32"/>
          <w:szCs w:val="32"/>
        </w:rPr>
        <w:t>治疗的第一年后，并持续存在于长期治疗期间。大多数骨折发生于服用罗格列酮的女性患者，主要为上臂和手足骨折。骨折的部位不同于绝经后骨质疏松症（如髋关节或脊柱）导致的骨折。其他试验表明，这种风险可能也发生于男性，但女性骨折的风险比男性高。应考虑患者接受罗格列</w:t>
      </w:r>
      <w:proofErr w:type="gramStart"/>
      <w:r w:rsidRPr="005A730F">
        <w:rPr>
          <w:rFonts w:eastAsia="仿宋_GB2312"/>
          <w:sz w:val="32"/>
          <w:szCs w:val="32"/>
        </w:rPr>
        <w:t>酮</w:t>
      </w:r>
      <w:proofErr w:type="gramEnd"/>
      <w:r w:rsidRPr="005A730F">
        <w:rPr>
          <w:rFonts w:eastAsia="仿宋_GB2312"/>
          <w:sz w:val="32"/>
          <w:szCs w:val="32"/>
        </w:rPr>
        <w:t>治疗的骨折风险，并注意按现行的诊疗常规评估和维护患者的骨健康。</w:t>
      </w:r>
      <w:r w:rsidRPr="005A730F">
        <w:rPr>
          <w:rFonts w:eastAsia="仿宋_GB2312"/>
          <w:sz w:val="32"/>
          <w:szCs w:val="32"/>
        </w:rPr>
        <w:t> </w:t>
      </w:r>
      <w:r w:rsidRPr="005A730F">
        <w:rPr>
          <w:rFonts w:eastAsia="仿宋_GB2312"/>
          <w:sz w:val="32"/>
          <w:szCs w:val="32"/>
        </w:rPr>
        <w:br/>
      </w:r>
      <w:r w:rsidRPr="005A730F">
        <w:rPr>
          <w:rFonts w:eastAsia="楷体_GB2312"/>
          <w:bCs/>
          <w:sz w:val="32"/>
          <w:szCs w:val="32"/>
        </w:rPr>
        <w:t xml:space="preserve">    8.</w:t>
      </w:r>
      <w:r w:rsidRPr="005A730F">
        <w:rPr>
          <w:rFonts w:eastAsia="楷体_GB2312"/>
          <w:bCs/>
          <w:sz w:val="32"/>
          <w:szCs w:val="32"/>
        </w:rPr>
        <w:t>血液系统</w:t>
      </w:r>
    </w:p>
    <w:p w:rsidR="0030481B" w:rsidRPr="005A730F" w:rsidRDefault="0030481B" w:rsidP="0030481B">
      <w:pPr>
        <w:spacing w:line="560" w:lineRule="exact"/>
        <w:ind w:firstLineChars="200" w:firstLine="640"/>
        <w:rPr>
          <w:rFonts w:eastAsia="楷体_GB2312"/>
          <w:bCs/>
          <w:sz w:val="32"/>
          <w:szCs w:val="32"/>
        </w:rPr>
      </w:pPr>
      <w:r w:rsidRPr="005A730F">
        <w:rPr>
          <w:rFonts w:eastAsia="仿宋_GB2312"/>
          <w:sz w:val="32"/>
          <w:szCs w:val="32"/>
        </w:rPr>
        <w:t>罗格列酮可致成年患者的平均血红蛋白和红细胞压积下降，且与剂量相关。上述变化可能与罗格列</w:t>
      </w:r>
      <w:proofErr w:type="gramStart"/>
      <w:r w:rsidRPr="005A730F">
        <w:rPr>
          <w:rFonts w:eastAsia="仿宋_GB2312"/>
          <w:sz w:val="32"/>
          <w:szCs w:val="32"/>
        </w:rPr>
        <w:t>酮</w:t>
      </w:r>
      <w:proofErr w:type="gramEnd"/>
      <w:r w:rsidRPr="005A730F">
        <w:rPr>
          <w:rFonts w:eastAsia="仿宋_GB2312"/>
          <w:sz w:val="32"/>
          <w:szCs w:val="32"/>
        </w:rPr>
        <w:t>治疗后引起的血容量增加有关。</w:t>
      </w:r>
      <w:r w:rsidRPr="005A730F">
        <w:rPr>
          <w:rFonts w:eastAsia="仿宋_GB2312"/>
          <w:sz w:val="32"/>
          <w:szCs w:val="32"/>
        </w:rPr>
        <w:t> </w:t>
      </w:r>
      <w:r w:rsidRPr="005A730F">
        <w:rPr>
          <w:rFonts w:eastAsia="仿宋_GB2312"/>
          <w:sz w:val="32"/>
          <w:szCs w:val="32"/>
        </w:rPr>
        <w:br/>
      </w:r>
      <w:r w:rsidRPr="005A730F">
        <w:rPr>
          <w:rFonts w:eastAsia="楷体_GB2312"/>
          <w:bCs/>
          <w:sz w:val="32"/>
          <w:szCs w:val="32"/>
        </w:rPr>
        <w:t xml:space="preserve">    9.</w:t>
      </w:r>
      <w:r w:rsidRPr="005A730F">
        <w:rPr>
          <w:rFonts w:eastAsia="楷体_GB2312"/>
          <w:bCs/>
          <w:sz w:val="32"/>
          <w:szCs w:val="32"/>
        </w:rPr>
        <w:t>糖尿病和血糖控制</w:t>
      </w:r>
    </w:p>
    <w:p w:rsidR="0030481B" w:rsidRPr="005A730F" w:rsidRDefault="0030481B" w:rsidP="0030481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A730F">
        <w:rPr>
          <w:rFonts w:eastAsia="仿宋_GB2312"/>
          <w:sz w:val="32"/>
          <w:szCs w:val="32"/>
        </w:rPr>
        <w:t>罗格列</w:t>
      </w:r>
      <w:proofErr w:type="gramStart"/>
      <w:r w:rsidRPr="005A730F">
        <w:rPr>
          <w:rFonts w:eastAsia="仿宋_GB2312"/>
          <w:sz w:val="32"/>
          <w:szCs w:val="32"/>
        </w:rPr>
        <w:t>酮</w:t>
      </w:r>
      <w:proofErr w:type="gramEnd"/>
      <w:r w:rsidRPr="005A730F">
        <w:rPr>
          <w:rFonts w:eastAsia="仿宋_GB2312"/>
          <w:sz w:val="32"/>
          <w:szCs w:val="32"/>
        </w:rPr>
        <w:t>与其他降糖药合用时，患者有发生低血糖的危险，必要时可减少合用药物的剂量。</w:t>
      </w:r>
      <w:r w:rsidRPr="005A730F">
        <w:rPr>
          <w:rFonts w:eastAsia="仿宋_GB2312"/>
          <w:sz w:val="32"/>
          <w:szCs w:val="32"/>
        </w:rPr>
        <w:t> </w:t>
      </w:r>
    </w:p>
    <w:p w:rsidR="0030481B" w:rsidRPr="005A730F" w:rsidRDefault="0030481B" w:rsidP="0030481B">
      <w:pPr>
        <w:spacing w:line="560" w:lineRule="exact"/>
        <w:ind w:firstLineChars="200" w:firstLine="608"/>
        <w:rPr>
          <w:rFonts w:eastAsia="仿宋_GB2312"/>
          <w:spacing w:val="-8"/>
          <w:sz w:val="32"/>
          <w:szCs w:val="32"/>
        </w:rPr>
      </w:pPr>
      <w:r w:rsidRPr="005A730F">
        <w:rPr>
          <w:rFonts w:eastAsia="仿宋_GB2312"/>
          <w:spacing w:val="-8"/>
          <w:sz w:val="32"/>
          <w:szCs w:val="32"/>
        </w:rPr>
        <w:t>应定期进行空腹血糖和糖化血红蛋白检测，以监测治疗的效果。</w:t>
      </w:r>
    </w:p>
    <w:p w:rsidR="0030481B" w:rsidRPr="005A730F" w:rsidRDefault="0030481B" w:rsidP="0030481B">
      <w:pPr>
        <w:spacing w:line="560" w:lineRule="exact"/>
        <w:ind w:firstLineChars="200" w:firstLine="640"/>
        <w:rPr>
          <w:rFonts w:eastAsia="楷体_GB2312"/>
          <w:bCs/>
          <w:sz w:val="32"/>
          <w:szCs w:val="32"/>
        </w:rPr>
      </w:pPr>
      <w:r w:rsidRPr="005A730F">
        <w:rPr>
          <w:rFonts w:eastAsia="楷体_GB2312"/>
          <w:bCs/>
          <w:sz w:val="32"/>
          <w:szCs w:val="32"/>
        </w:rPr>
        <w:t>10.</w:t>
      </w:r>
      <w:r w:rsidRPr="005A730F">
        <w:rPr>
          <w:rFonts w:eastAsia="楷体_GB2312"/>
          <w:bCs/>
          <w:sz w:val="32"/>
          <w:szCs w:val="32"/>
        </w:rPr>
        <w:t>排卵</w:t>
      </w:r>
    </w:p>
    <w:p w:rsidR="0030481B" w:rsidRPr="005A730F" w:rsidRDefault="0030481B" w:rsidP="0030481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A730F">
        <w:rPr>
          <w:rFonts w:eastAsia="仿宋_GB2312"/>
          <w:sz w:val="32"/>
          <w:szCs w:val="32"/>
        </w:rPr>
        <w:lastRenderedPageBreak/>
        <w:t>罗格列酮与其他</w:t>
      </w:r>
      <w:proofErr w:type="gramStart"/>
      <w:r w:rsidRPr="005A730F">
        <w:rPr>
          <w:rFonts w:eastAsia="仿宋_GB2312"/>
          <w:sz w:val="32"/>
          <w:szCs w:val="32"/>
        </w:rPr>
        <w:t>噻唑烷二酮</w:t>
      </w:r>
      <w:proofErr w:type="gramEnd"/>
      <w:r w:rsidRPr="005A730F">
        <w:rPr>
          <w:rFonts w:eastAsia="仿宋_GB2312"/>
          <w:sz w:val="32"/>
          <w:szCs w:val="32"/>
        </w:rPr>
        <w:t>类药物一样，可使绝经前期无排卵的妇女恢复排卵。因而，服用该药增加这些患者妊娠的风险。建议绝经</w:t>
      </w:r>
      <w:proofErr w:type="gramStart"/>
      <w:r w:rsidRPr="005A730F">
        <w:rPr>
          <w:rFonts w:eastAsia="仿宋_GB2312"/>
          <w:sz w:val="32"/>
          <w:szCs w:val="32"/>
        </w:rPr>
        <w:t>前妇女</w:t>
      </w:r>
      <w:proofErr w:type="gramEnd"/>
      <w:r w:rsidRPr="005A730F">
        <w:rPr>
          <w:rFonts w:eastAsia="仿宋_GB2312"/>
          <w:sz w:val="32"/>
          <w:szCs w:val="32"/>
        </w:rPr>
        <w:t>采取避孕措施。由于尚未进行与此相关的临床研究，因此其发生率尚未知。</w:t>
      </w:r>
    </w:p>
    <w:p w:rsidR="00190133" w:rsidRPr="0030481B" w:rsidRDefault="0030481B" w:rsidP="0030481B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5A730F">
        <w:rPr>
          <w:rFonts w:eastAsia="仿宋_GB2312"/>
          <w:sz w:val="32"/>
          <w:szCs w:val="32"/>
        </w:rPr>
        <w:t>虽然在临床前研究中可见激素失调，但此发现的临床意义尚未知。如出现未预期的月经紊乱，则应评估继续使用罗格列</w:t>
      </w:r>
      <w:proofErr w:type="gramStart"/>
      <w:r w:rsidRPr="005A730F">
        <w:rPr>
          <w:rFonts w:eastAsia="仿宋_GB2312"/>
          <w:sz w:val="32"/>
          <w:szCs w:val="32"/>
        </w:rPr>
        <w:t>酮是否</w:t>
      </w:r>
      <w:proofErr w:type="gramEnd"/>
      <w:r w:rsidRPr="005A730F">
        <w:rPr>
          <w:rFonts w:eastAsia="仿宋_GB2312"/>
          <w:sz w:val="32"/>
          <w:szCs w:val="32"/>
        </w:rPr>
        <w:t>有益。</w:t>
      </w:r>
      <w:r w:rsidRPr="005A730F">
        <w:rPr>
          <w:rFonts w:eastAsia="仿宋_GB2312"/>
          <w:sz w:val="32"/>
          <w:szCs w:val="32"/>
        </w:rPr>
        <w:t>”</w:t>
      </w:r>
    </w:p>
    <w:sectPr w:rsidR="00190133" w:rsidRPr="00304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1B"/>
    <w:rsid w:val="00190133"/>
    <w:rsid w:val="0030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1081C-D9BB-405E-A3F9-3CF1881A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8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865</Words>
  <Characters>4934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2016-08-12T02:24:00Z</dcterms:created>
  <dcterms:modified xsi:type="dcterms:W3CDTF">2016-08-12T02:25:00Z</dcterms:modified>
</cp:coreProperties>
</file>