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Ansi="仿宋_GB2312" w:eastAsia="仿宋_GB2312"/>
          <w:color w:val="auto"/>
          <w:sz w:val="28"/>
          <w:szCs w:val="28"/>
          <w:highlight w:val="none"/>
        </w:rPr>
      </w:pPr>
      <w:r>
        <w:rPr>
          <w:rFonts w:hint="eastAsia" w:ascii="黑体" w:hAnsi="黑体" w:eastAsia="黑体" w:cs="黑体"/>
          <w:color w:val="auto"/>
          <w:sz w:val="32"/>
          <w:szCs w:val="32"/>
          <w:highlight w:val="none"/>
        </w:rPr>
        <w:t>附件1</w:t>
      </w:r>
    </w:p>
    <w:p>
      <w:pPr>
        <w:spacing w:line="360" w:lineRule="auto"/>
        <w:rPr>
          <w:rFonts w:hAnsi="仿宋_GB2312" w:eastAsia="仿宋_GB2312"/>
          <w:color w:val="auto"/>
          <w:sz w:val="28"/>
          <w:szCs w:val="28"/>
          <w:highlight w:val="none"/>
        </w:rPr>
      </w:pPr>
    </w:p>
    <w:p>
      <w:pPr>
        <w:autoSpaceDE w:val="0"/>
        <w:autoSpaceDN w:val="0"/>
        <w:adjustRightInd w:val="0"/>
        <w:spacing w:line="360" w:lineRule="auto"/>
        <w:jc w:val="center"/>
        <w:rPr>
          <w:rFonts w:hint="eastAsia" w:ascii="微软简标宋" w:hAnsi="微软简标宋" w:eastAsia="微软简标宋" w:cs="微软简标宋"/>
          <w:color w:val="auto"/>
          <w:kern w:val="0"/>
          <w:sz w:val="44"/>
          <w:szCs w:val="44"/>
          <w:highlight w:val="none"/>
        </w:rPr>
      </w:pPr>
      <w:r>
        <w:rPr>
          <w:rFonts w:hint="eastAsia" w:ascii="微软简标宋" w:hAnsi="微软简标宋" w:cs="微软简标宋"/>
          <w:color w:val="auto"/>
          <w:kern w:val="0"/>
          <w:sz w:val="44"/>
          <w:szCs w:val="44"/>
          <w:highlight w:val="none"/>
        </w:rPr>
        <w:t>202</w:t>
      </w:r>
      <w:r>
        <w:rPr>
          <w:rFonts w:hint="eastAsia" w:ascii="微软简标宋" w:hAnsi="微软简标宋" w:cs="微软简标宋"/>
          <w:color w:val="auto"/>
          <w:kern w:val="0"/>
          <w:sz w:val="44"/>
          <w:szCs w:val="44"/>
          <w:highlight w:val="none"/>
          <w:lang w:val="en-US" w:eastAsia="zh-CN"/>
        </w:rPr>
        <w:t>1</w:t>
      </w:r>
      <w:r>
        <w:rPr>
          <w:rFonts w:hint="eastAsia" w:ascii="微软简标宋" w:hAnsi="微软简标宋" w:eastAsia="微软简标宋" w:cs="微软简标宋"/>
          <w:color w:val="auto"/>
          <w:kern w:val="0"/>
          <w:sz w:val="44"/>
          <w:szCs w:val="44"/>
          <w:highlight w:val="none"/>
        </w:rPr>
        <w:t>年度中山火炬开发区</w:t>
      </w:r>
      <w:r>
        <w:rPr>
          <w:rFonts w:hint="eastAsia" w:ascii="微软简标宋" w:hAnsi="微软简标宋" w:eastAsia="微软简标宋" w:cs="微软简标宋"/>
          <w:color w:val="auto"/>
          <w:kern w:val="0"/>
          <w:sz w:val="44"/>
          <w:szCs w:val="44"/>
          <w:highlight w:val="none"/>
          <w:lang w:eastAsia="zh-CN"/>
        </w:rPr>
        <w:t>生物</w:t>
      </w:r>
      <w:r>
        <w:rPr>
          <w:rFonts w:hint="eastAsia" w:ascii="微软简标宋" w:hAnsi="微软简标宋" w:eastAsia="微软简标宋" w:cs="微软简标宋"/>
          <w:color w:val="auto"/>
          <w:kern w:val="0"/>
          <w:sz w:val="44"/>
          <w:szCs w:val="44"/>
          <w:highlight w:val="none"/>
        </w:rPr>
        <w:t>医药</w:t>
      </w:r>
      <w:r>
        <w:rPr>
          <w:rFonts w:hint="eastAsia" w:ascii="微软简标宋" w:hAnsi="微软简标宋" w:eastAsia="微软简标宋" w:cs="微软简标宋"/>
          <w:color w:val="auto"/>
          <w:kern w:val="0"/>
          <w:sz w:val="44"/>
          <w:szCs w:val="44"/>
          <w:highlight w:val="none"/>
          <w:lang w:eastAsia="zh-CN"/>
        </w:rPr>
        <w:t>与健康</w:t>
      </w:r>
      <w:r>
        <w:rPr>
          <w:rFonts w:hint="eastAsia" w:ascii="微软简标宋" w:hAnsi="微软简标宋" w:eastAsia="微软简标宋" w:cs="微软简标宋"/>
          <w:color w:val="auto"/>
          <w:kern w:val="0"/>
          <w:sz w:val="44"/>
          <w:szCs w:val="44"/>
          <w:highlight w:val="none"/>
        </w:rPr>
        <w:t>产业</w:t>
      </w:r>
    </w:p>
    <w:p>
      <w:pPr>
        <w:autoSpaceDE w:val="0"/>
        <w:autoSpaceDN w:val="0"/>
        <w:adjustRightInd w:val="0"/>
        <w:spacing w:line="360" w:lineRule="auto"/>
        <w:jc w:val="center"/>
        <w:rPr>
          <w:rFonts w:hint="eastAsia" w:ascii="微软简标宋" w:hAnsi="微软简标宋" w:eastAsia="微软简标宋" w:cs="微软简标宋"/>
          <w:color w:val="auto"/>
          <w:kern w:val="0"/>
          <w:sz w:val="44"/>
          <w:szCs w:val="44"/>
          <w:highlight w:val="none"/>
        </w:rPr>
      </w:pPr>
      <w:r>
        <w:rPr>
          <w:rFonts w:hint="eastAsia" w:ascii="微软简标宋" w:hAnsi="微软简标宋" w:eastAsia="微软简标宋" w:cs="微软简标宋"/>
          <w:color w:val="auto"/>
          <w:kern w:val="0"/>
          <w:sz w:val="44"/>
          <w:szCs w:val="44"/>
          <w:highlight w:val="none"/>
        </w:rPr>
        <w:t>发展专项资金</w:t>
      </w:r>
      <w:r>
        <w:rPr>
          <w:rFonts w:hint="eastAsia" w:ascii="微软简标宋" w:hAnsi="微软简标宋" w:eastAsia="微软简标宋" w:cs="微软简标宋"/>
          <w:color w:val="auto"/>
          <w:kern w:val="0"/>
          <w:sz w:val="44"/>
          <w:szCs w:val="44"/>
          <w:highlight w:val="none"/>
          <w:lang w:eastAsia="zh-CN"/>
        </w:rPr>
        <w:t>第二批</w:t>
      </w:r>
      <w:r>
        <w:rPr>
          <w:rFonts w:hint="eastAsia" w:ascii="微软简标宋" w:hAnsi="微软简标宋" w:eastAsia="微软简标宋" w:cs="微软简标宋"/>
          <w:color w:val="auto"/>
          <w:kern w:val="0"/>
          <w:sz w:val="44"/>
          <w:szCs w:val="44"/>
          <w:highlight w:val="none"/>
          <w:lang w:eastAsia="zh-CN"/>
        </w:rPr>
        <w:t>项目</w:t>
      </w:r>
      <w:r>
        <w:rPr>
          <w:rFonts w:hint="eastAsia" w:ascii="微软简标宋" w:hAnsi="微软简标宋" w:eastAsia="微软简标宋" w:cs="微软简标宋"/>
          <w:color w:val="auto"/>
          <w:kern w:val="0"/>
          <w:sz w:val="44"/>
          <w:szCs w:val="44"/>
          <w:highlight w:val="none"/>
        </w:rPr>
        <w:t>申报指南</w:t>
      </w:r>
    </w:p>
    <w:p>
      <w:pPr>
        <w:spacing w:line="360" w:lineRule="auto"/>
        <w:ind w:firstLine="600" w:firstLineChars="200"/>
        <w:rPr>
          <w:rFonts w:hint="eastAsia" w:ascii="仿宋_GB2312" w:hAnsi="仿宋_GB2312" w:eastAsia="仿宋_GB2312" w:cs="仿宋_GB2312"/>
          <w:color w:val="auto"/>
          <w:sz w:val="30"/>
          <w:szCs w:val="30"/>
          <w:highlight w:val="none"/>
        </w:rPr>
      </w:pP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w:t>
      </w:r>
      <w:r>
        <w:rPr>
          <w:rFonts w:hint="eastAsia" w:ascii="仿宋_GB2312" w:hAnsi="仿宋_GB2312" w:eastAsia="仿宋_GB2312" w:cs="仿宋_GB2312"/>
          <w:color w:val="auto"/>
          <w:sz w:val="32"/>
          <w:szCs w:val="32"/>
          <w:highlight w:val="none"/>
          <w:lang w:eastAsia="zh-CN"/>
        </w:rPr>
        <w:t>《中山火炬开发区生物医药与健康产业发展专项资金管理办法》（中开管〔2021〕24号）及《中山火炬开发区健康医药产业发展专项资金管理办法》（火炬党政办〔20</w:t>
      </w:r>
      <w:r>
        <w:rPr>
          <w:rFonts w:hint="eastAsia" w:ascii="仿宋_GB2312" w:hAnsi="仿宋_GB2312" w:eastAsia="仿宋_GB2312" w:cs="仿宋_GB2312"/>
          <w:color w:val="auto"/>
          <w:sz w:val="32"/>
          <w:szCs w:val="32"/>
          <w:highlight w:val="none"/>
          <w:lang w:val="en-US" w:eastAsia="zh-CN"/>
        </w:rPr>
        <w:t>19</w:t>
      </w:r>
      <w:r>
        <w:rPr>
          <w:rFonts w:hint="eastAsia" w:ascii="仿宋_GB2312" w:hAnsi="仿宋_GB2312" w:eastAsia="仿宋_GB2312" w:cs="仿宋_GB2312"/>
          <w:color w:val="auto"/>
          <w:sz w:val="32"/>
          <w:szCs w:val="32"/>
          <w:highlight w:val="none"/>
          <w:lang w:eastAsia="zh-CN"/>
        </w:rPr>
        <w:t>〕2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号）</w:t>
      </w:r>
      <w:r>
        <w:rPr>
          <w:rFonts w:hint="eastAsia" w:ascii="仿宋_GB2312" w:hAnsi="仿宋_GB2312" w:eastAsia="仿宋_GB2312" w:cs="仿宋_GB2312"/>
          <w:color w:val="auto"/>
          <w:sz w:val="32"/>
          <w:szCs w:val="32"/>
          <w:highlight w:val="none"/>
        </w:rPr>
        <w:t>的相关</w:t>
      </w:r>
      <w:r>
        <w:rPr>
          <w:rFonts w:hint="eastAsia" w:ascii="仿宋_GB2312" w:hAnsi="仿宋_GB2312" w:eastAsia="仿宋_GB2312" w:cs="仿宋_GB2312"/>
          <w:color w:val="auto"/>
          <w:sz w:val="32"/>
          <w:szCs w:val="32"/>
          <w:highlight w:val="none"/>
          <w:lang w:eastAsia="zh-CN"/>
        </w:rPr>
        <w:t>规定</w:t>
      </w:r>
      <w:r>
        <w:rPr>
          <w:rFonts w:hint="eastAsia" w:ascii="仿宋_GB2312" w:hAnsi="仿宋_GB2312" w:eastAsia="仿宋_GB2312" w:cs="仿宋_GB2312"/>
          <w:color w:val="auto"/>
          <w:sz w:val="32"/>
          <w:szCs w:val="32"/>
          <w:highlight w:val="none"/>
        </w:rPr>
        <w:t>，特制定202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年度区</w:t>
      </w:r>
      <w:r>
        <w:rPr>
          <w:rFonts w:hint="eastAsia" w:ascii="仿宋_GB2312" w:hAnsi="仿宋_GB2312" w:eastAsia="仿宋_GB2312" w:cs="仿宋_GB2312"/>
          <w:color w:val="auto"/>
          <w:sz w:val="32"/>
          <w:szCs w:val="32"/>
          <w:highlight w:val="none"/>
          <w:lang w:eastAsia="zh-CN"/>
        </w:rPr>
        <w:t>生物</w:t>
      </w:r>
      <w:r>
        <w:rPr>
          <w:rFonts w:hint="eastAsia" w:ascii="仿宋_GB2312" w:hAnsi="仿宋_GB2312" w:eastAsia="仿宋_GB2312" w:cs="仿宋_GB2312"/>
          <w:color w:val="auto"/>
          <w:sz w:val="32"/>
          <w:szCs w:val="32"/>
          <w:highlight w:val="none"/>
        </w:rPr>
        <w:t>医药</w:t>
      </w:r>
      <w:r>
        <w:rPr>
          <w:rFonts w:hint="eastAsia" w:ascii="仿宋_GB2312" w:hAnsi="仿宋_GB2312" w:eastAsia="仿宋_GB2312" w:cs="仿宋_GB2312"/>
          <w:color w:val="auto"/>
          <w:sz w:val="32"/>
          <w:szCs w:val="32"/>
          <w:highlight w:val="none"/>
          <w:lang w:eastAsia="zh-CN"/>
        </w:rPr>
        <w:t>与健康</w:t>
      </w:r>
      <w:r>
        <w:rPr>
          <w:rFonts w:hint="eastAsia" w:ascii="仿宋_GB2312" w:hAnsi="仿宋_GB2312" w:eastAsia="仿宋_GB2312" w:cs="仿宋_GB2312"/>
          <w:color w:val="auto"/>
          <w:sz w:val="32"/>
          <w:szCs w:val="32"/>
          <w:highlight w:val="none"/>
        </w:rPr>
        <w:t>产业发展专项资金</w:t>
      </w:r>
      <w:r>
        <w:rPr>
          <w:rFonts w:hint="eastAsia" w:ascii="仿宋_GB2312" w:hAnsi="仿宋_GB2312" w:eastAsia="仿宋_GB2312" w:cs="仿宋_GB2312"/>
          <w:color w:val="auto"/>
          <w:sz w:val="32"/>
          <w:szCs w:val="32"/>
          <w:highlight w:val="none"/>
          <w:lang w:eastAsia="zh-CN"/>
        </w:rPr>
        <w:t>第二批</w:t>
      </w:r>
      <w:r>
        <w:rPr>
          <w:rFonts w:hint="eastAsia" w:ascii="仿宋_GB2312" w:hAnsi="仿宋_GB2312" w:eastAsia="仿宋_GB2312" w:cs="仿宋_GB2312"/>
          <w:color w:val="auto"/>
          <w:sz w:val="32"/>
          <w:szCs w:val="32"/>
          <w:highlight w:val="none"/>
        </w:rPr>
        <w:t>项目申报指南。</w:t>
      </w: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rightChars="0" w:firstLine="664" w:firstLineChars="200"/>
        <w:textAlignment w:val="auto"/>
        <w:outlineLvl w:val="9"/>
        <w:rPr>
          <w:rFonts w:hint="default" w:ascii="Times New Roman" w:hAnsi="Times New Roman" w:eastAsia="仿宋_GB2312" w:cs="Times New Roman"/>
          <w:color w:val="auto"/>
          <w:spacing w:val="6"/>
          <w:kern w:val="32"/>
          <w:sz w:val="32"/>
          <w:szCs w:val="32"/>
          <w:highlight w:val="none"/>
        </w:rPr>
      </w:pPr>
      <w:r>
        <w:rPr>
          <w:rFonts w:hint="default" w:ascii="Times New Roman" w:hAnsi="Times New Roman" w:eastAsia="仿宋_GB2312" w:cs="Times New Roman"/>
          <w:color w:val="auto"/>
          <w:spacing w:val="6"/>
          <w:kern w:val="32"/>
          <w:sz w:val="32"/>
          <w:szCs w:val="32"/>
          <w:highlight w:val="none"/>
        </w:rPr>
        <w:t>项目申报单位须满足下列条件：</w:t>
      </w:r>
    </w:p>
    <w:p>
      <w:pPr>
        <w:keepNext w:val="0"/>
        <w:keepLines w:val="0"/>
        <w:pageBreakBefore w:val="0"/>
        <w:kinsoku/>
        <w:wordWrap/>
        <w:overflowPunct/>
        <w:topLinePunct w:val="0"/>
        <w:autoSpaceDE w:val="0"/>
        <w:autoSpaceDN w:val="0"/>
        <w:bidi w:val="0"/>
        <w:adjustRightInd w:val="0"/>
        <w:snapToGrid w:val="0"/>
        <w:spacing w:line="600" w:lineRule="exact"/>
        <w:ind w:right="0" w:rightChars="0" w:firstLine="664" w:firstLineChars="200"/>
        <w:textAlignment w:val="auto"/>
        <w:outlineLvl w:val="9"/>
        <w:rPr>
          <w:rFonts w:hint="default" w:ascii="Times New Roman" w:hAnsi="Times New Roman" w:eastAsia="仿宋_GB2312" w:cs="Times New Roman"/>
          <w:color w:val="auto"/>
          <w:spacing w:val="6"/>
          <w:kern w:val="32"/>
          <w:sz w:val="32"/>
          <w:szCs w:val="32"/>
          <w:highlight w:val="none"/>
        </w:rPr>
      </w:pPr>
      <w:r>
        <w:rPr>
          <w:rFonts w:hint="default" w:ascii="Times New Roman" w:hAnsi="Times New Roman" w:eastAsia="仿宋_GB2312" w:cs="Times New Roman"/>
          <w:color w:val="auto"/>
          <w:spacing w:val="6"/>
          <w:kern w:val="32"/>
          <w:sz w:val="32"/>
          <w:szCs w:val="32"/>
          <w:highlight w:val="none"/>
        </w:rPr>
        <w:t>（一）在我区工商注册和税务登记的</w:t>
      </w:r>
      <w:r>
        <w:rPr>
          <w:rFonts w:hint="eastAsia" w:ascii="Times New Roman" w:hAnsi="Times New Roman" w:eastAsia="仿宋_GB2312" w:cs="Times New Roman"/>
          <w:color w:val="auto"/>
          <w:spacing w:val="6"/>
          <w:kern w:val="32"/>
          <w:sz w:val="32"/>
          <w:szCs w:val="32"/>
          <w:highlight w:val="none"/>
          <w:lang w:eastAsia="zh-CN"/>
        </w:rPr>
        <w:t>独立法人</w:t>
      </w:r>
      <w:r>
        <w:rPr>
          <w:rFonts w:hint="default" w:ascii="Times New Roman" w:hAnsi="Times New Roman" w:eastAsia="仿宋_GB2312" w:cs="Times New Roman"/>
          <w:color w:val="auto"/>
          <w:spacing w:val="6"/>
          <w:kern w:val="32"/>
          <w:sz w:val="32"/>
          <w:szCs w:val="32"/>
          <w:highlight w:val="none"/>
        </w:rPr>
        <w:t>；</w:t>
      </w:r>
    </w:p>
    <w:p>
      <w:pPr>
        <w:keepNext w:val="0"/>
        <w:keepLines w:val="0"/>
        <w:pageBreakBefore w:val="0"/>
        <w:kinsoku/>
        <w:wordWrap/>
        <w:overflowPunct/>
        <w:topLinePunct w:val="0"/>
        <w:autoSpaceDE w:val="0"/>
        <w:autoSpaceDN w:val="0"/>
        <w:bidi w:val="0"/>
        <w:adjustRightInd w:val="0"/>
        <w:snapToGrid w:val="0"/>
        <w:spacing w:line="600" w:lineRule="exact"/>
        <w:ind w:right="0" w:rightChars="0" w:firstLine="664" w:firstLineChars="200"/>
        <w:textAlignment w:val="auto"/>
        <w:outlineLvl w:val="9"/>
        <w:rPr>
          <w:rFonts w:hint="default" w:ascii="Times New Roman" w:hAnsi="Times New Roman" w:eastAsia="仿宋_GB2312" w:cs="Times New Roman"/>
          <w:color w:val="auto"/>
          <w:spacing w:val="6"/>
          <w:kern w:val="32"/>
          <w:sz w:val="32"/>
          <w:szCs w:val="32"/>
          <w:highlight w:val="none"/>
        </w:rPr>
      </w:pPr>
      <w:r>
        <w:rPr>
          <w:rFonts w:hint="default" w:ascii="Times New Roman" w:hAnsi="Times New Roman" w:eastAsia="仿宋_GB2312" w:cs="Times New Roman"/>
          <w:color w:val="auto"/>
          <w:spacing w:val="6"/>
          <w:kern w:val="32"/>
          <w:sz w:val="32"/>
          <w:szCs w:val="32"/>
          <w:highlight w:val="none"/>
        </w:rPr>
        <w:t>（二）属于生物医药</w:t>
      </w:r>
      <w:r>
        <w:rPr>
          <w:rFonts w:hint="default" w:ascii="Times New Roman" w:hAnsi="Times New Roman" w:eastAsia="仿宋_GB2312" w:cs="Times New Roman"/>
          <w:color w:val="auto"/>
          <w:spacing w:val="6"/>
          <w:kern w:val="32"/>
          <w:sz w:val="32"/>
          <w:szCs w:val="32"/>
          <w:highlight w:val="none"/>
          <w:lang w:eastAsia="zh-CN"/>
        </w:rPr>
        <w:t>与健康产业</w:t>
      </w:r>
      <w:r>
        <w:rPr>
          <w:rFonts w:hint="default" w:ascii="Times New Roman" w:hAnsi="Times New Roman" w:eastAsia="仿宋_GB2312" w:cs="Times New Roman"/>
          <w:color w:val="auto"/>
          <w:spacing w:val="6"/>
          <w:kern w:val="32"/>
          <w:sz w:val="32"/>
          <w:szCs w:val="32"/>
          <w:highlight w:val="none"/>
        </w:rPr>
        <w:t>领域的工业和服务业企业及相关</w:t>
      </w:r>
      <w:r>
        <w:rPr>
          <w:rFonts w:hint="eastAsia" w:ascii="Times New Roman" w:hAnsi="Times New Roman" w:eastAsia="仿宋_GB2312" w:cs="Times New Roman"/>
          <w:color w:val="auto"/>
          <w:spacing w:val="6"/>
          <w:kern w:val="32"/>
          <w:sz w:val="32"/>
          <w:szCs w:val="32"/>
          <w:highlight w:val="none"/>
          <w:lang w:eastAsia="zh-CN"/>
        </w:rPr>
        <w:t>独立法人</w:t>
      </w:r>
      <w:r>
        <w:rPr>
          <w:rFonts w:hint="default" w:ascii="Times New Roman" w:hAnsi="Times New Roman" w:eastAsia="仿宋_GB2312" w:cs="Times New Roman"/>
          <w:color w:val="auto"/>
          <w:spacing w:val="6"/>
          <w:kern w:val="32"/>
          <w:sz w:val="32"/>
          <w:szCs w:val="32"/>
          <w:highlight w:val="none"/>
        </w:rPr>
        <w:t>；</w:t>
      </w:r>
    </w:p>
    <w:p>
      <w:pPr>
        <w:keepNext w:val="0"/>
        <w:keepLines w:val="0"/>
        <w:pageBreakBefore w:val="0"/>
        <w:kinsoku/>
        <w:wordWrap/>
        <w:overflowPunct/>
        <w:topLinePunct w:val="0"/>
        <w:autoSpaceDE w:val="0"/>
        <w:autoSpaceDN w:val="0"/>
        <w:bidi w:val="0"/>
        <w:adjustRightInd w:val="0"/>
        <w:snapToGrid w:val="0"/>
        <w:spacing w:line="600" w:lineRule="exact"/>
        <w:ind w:right="0" w:rightChars="0" w:firstLine="664" w:firstLineChars="200"/>
        <w:textAlignment w:val="auto"/>
        <w:outlineLvl w:val="9"/>
        <w:rPr>
          <w:rFonts w:hint="default" w:ascii="Times New Roman" w:hAnsi="Times New Roman" w:eastAsia="仿宋_GB2312" w:cs="Times New Roman"/>
          <w:color w:val="auto"/>
          <w:spacing w:val="6"/>
          <w:kern w:val="32"/>
          <w:sz w:val="32"/>
          <w:szCs w:val="32"/>
          <w:highlight w:val="none"/>
        </w:rPr>
      </w:pPr>
      <w:r>
        <w:rPr>
          <w:rFonts w:hint="default" w:ascii="Times New Roman" w:hAnsi="Times New Roman" w:eastAsia="仿宋_GB2312" w:cs="Times New Roman"/>
          <w:color w:val="auto"/>
          <w:spacing w:val="6"/>
          <w:kern w:val="32"/>
          <w:sz w:val="32"/>
          <w:szCs w:val="32"/>
          <w:highlight w:val="none"/>
        </w:rPr>
        <w:t>（三）财务管理机构健全</w:t>
      </w:r>
      <w:r>
        <w:rPr>
          <w:rFonts w:hint="default" w:ascii="Times New Roman" w:hAnsi="Times New Roman" w:eastAsia="仿宋_GB2312" w:cs="Times New Roman"/>
          <w:color w:val="auto"/>
          <w:spacing w:val="6"/>
          <w:kern w:val="32"/>
          <w:sz w:val="32"/>
          <w:szCs w:val="32"/>
          <w:highlight w:val="none"/>
          <w:lang w:eastAsia="zh-CN"/>
        </w:rPr>
        <w:t>，</w:t>
      </w:r>
      <w:r>
        <w:rPr>
          <w:rFonts w:hint="default" w:ascii="Times New Roman" w:hAnsi="Times New Roman" w:eastAsia="仿宋_GB2312" w:cs="Times New Roman"/>
          <w:color w:val="auto"/>
          <w:spacing w:val="6"/>
          <w:kern w:val="32"/>
          <w:sz w:val="32"/>
          <w:szCs w:val="32"/>
          <w:highlight w:val="none"/>
        </w:rPr>
        <w:t>管理制度完善，经营状况良好；</w:t>
      </w:r>
    </w:p>
    <w:p>
      <w:pPr>
        <w:keepNext w:val="0"/>
        <w:keepLines w:val="0"/>
        <w:pageBreakBefore w:val="0"/>
        <w:kinsoku/>
        <w:wordWrap/>
        <w:overflowPunct/>
        <w:topLinePunct w:val="0"/>
        <w:autoSpaceDE w:val="0"/>
        <w:autoSpaceDN w:val="0"/>
        <w:bidi w:val="0"/>
        <w:adjustRightInd w:val="0"/>
        <w:snapToGrid w:val="0"/>
        <w:spacing w:line="600" w:lineRule="exact"/>
        <w:ind w:right="0" w:rightChars="0" w:firstLine="664" w:firstLineChars="200"/>
        <w:textAlignment w:val="auto"/>
        <w:outlineLvl w:val="9"/>
        <w:rPr>
          <w:rFonts w:hint="default" w:ascii="Times New Roman" w:hAnsi="Times New Roman" w:eastAsia="仿宋_GB2312" w:cs="Times New Roman"/>
          <w:color w:val="auto"/>
          <w:spacing w:val="6"/>
          <w:kern w:val="32"/>
          <w:sz w:val="32"/>
          <w:szCs w:val="32"/>
          <w:highlight w:val="none"/>
        </w:rPr>
      </w:pPr>
      <w:r>
        <w:rPr>
          <w:rFonts w:hint="default" w:ascii="Times New Roman" w:hAnsi="Times New Roman" w:eastAsia="仿宋_GB2312" w:cs="Times New Roman"/>
          <w:color w:val="auto"/>
          <w:spacing w:val="6"/>
          <w:kern w:val="32"/>
          <w:sz w:val="32"/>
          <w:szCs w:val="32"/>
          <w:highlight w:val="none"/>
        </w:rPr>
        <w:t>（四）具有较强</w:t>
      </w:r>
      <w:r>
        <w:rPr>
          <w:rFonts w:hint="eastAsia" w:ascii="Times New Roman" w:hAnsi="Times New Roman" w:eastAsia="仿宋_GB2312" w:cs="Times New Roman"/>
          <w:color w:val="auto"/>
          <w:spacing w:val="6"/>
          <w:kern w:val="32"/>
          <w:sz w:val="32"/>
          <w:szCs w:val="32"/>
          <w:highlight w:val="none"/>
          <w:lang w:eastAsia="zh-CN"/>
        </w:rPr>
        <w:t>的</w:t>
      </w:r>
      <w:r>
        <w:rPr>
          <w:rFonts w:hint="default" w:ascii="Times New Roman" w:hAnsi="Times New Roman" w:eastAsia="仿宋_GB2312" w:cs="Times New Roman"/>
          <w:color w:val="auto"/>
          <w:spacing w:val="6"/>
          <w:kern w:val="32"/>
          <w:sz w:val="32"/>
          <w:szCs w:val="32"/>
          <w:highlight w:val="none"/>
        </w:rPr>
        <w:t>资金筹措能力；</w:t>
      </w:r>
    </w:p>
    <w:p>
      <w:pPr>
        <w:keepNext w:val="0"/>
        <w:keepLines w:val="0"/>
        <w:pageBreakBefore w:val="0"/>
        <w:kinsoku/>
        <w:wordWrap/>
        <w:overflowPunct/>
        <w:topLinePunct w:val="0"/>
        <w:autoSpaceDE w:val="0"/>
        <w:autoSpaceDN w:val="0"/>
        <w:bidi w:val="0"/>
        <w:adjustRightInd w:val="0"/>
        <w:snapToGrid w:val="0"/>
        <w:spacing w:line="600" w:lineRule="exact"/>
        <w:ind w:right="0" w:rightChars="0" w:firstLine="664" w:firstLineChars="200"/>
        <w:textAlignment w:val="auto"/>
        <w:outlineLvl w:val="9"/>
        <w:rPr>
          <w:rFonts w:hint="eastAsia" w:ascii="仿宋_GB2312" w:hAnsi="仿宋_GB2312" w:eastAsia="仿宋_GB2312" w:cs="仿宋_GB2312"/>
          <w:color w:val="auto"/>
          <w:sz w:val="32"/>
          <w:szCs w:val="32"/>
          <w:highlight w:val="none"/>
        </w:rPr>
      </w:pPr>
      <w:r>
        <w:rPr>
          <w:rFonts w:hint="default" w:ascii="Times New Roman" w:hAnsi="Times New Roman" w:eastAsia="仿宋_GB2312" w:cs="Times New Roman"/>
          <w:color w:val="auto"/>
          <w:spacing w:val="6"/>
          <w:kern w:val="32"/>
          <w:sz w:val="32"/>
          <w:szCs w:val="32"/>
          <w:highlight w:val="none"/>
        </w:rPr>
        <w:t>（五）申报指南要求具备的其他条件。</w:t>
      </w:r>
    </w:p>
    <w:p>
      <w:pPr>
        <w:pStyle w:val="3"/>
        <w:topLinePunct/>
        <w:spacing w:line="360" w:lineRule="auto"/>
        <w:ind w:left="0" w:firstLine="640" w:firstLineChars="200"/>
        <w:rPr>
          <w:rFonts w:hint="eastAsia" w:ascii="黑体" w:hAnsi="黑体" w:eastAsia="黑体" w:cs="黑体"/>
          <w:color w:val="auto"/>
          <w:highlight w:val="none"/>
        </w:rPr>
      </w:pPr>
      <w:r>
        <w:rPr>
          <w:rFonts w:hint="eastAsia" w:ascii="黑体" w:hAnsi="黑体" w:eastAsia="黑体" w:cs="黑体"/>
          <w:color w:val="auto"/>
          <w:highlight w:val="none"/>
          <w:lang w:eastAsia="zh-CN"/>
        </w:rPr>
        <w:t>一、</w:t>
      </w:r>
      <w:r>
        <w:rPr>
          <w:rFonts w:hint="eastAsia" w:ascii="黑体" w:hAnsi="黑体" w:eastAsia="黑体" w:cs="黑体"/>
          <w:color w:val="auto"/>
          <w:highlight w:val="none"/>
        </w:rPr>
        <w:t>项目配套专题</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（一）扶持对象及标准</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对于获得国家重点研发计划专项、国家重大新药创制科技重大专项、国家科技创新2030重大项目立项的项目，参照我区科技强企有关标准由区相关部门予以配套支持，单个项目最高不超过1000万元。</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（二）扶持时间</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月1日</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30</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rPr>
        <w:t>期间获得上级立项文件。</w:t>
      </w:r>
    </w:p>
    <w:p>
      <w:pPr>
        <w:pStyle w:val="3"/>
        <w:topLinePunct/>
        <w:spacing w:line="360" w:lineRule="auto"/>
        <w:ind w:firstLine="640" w:firstLineChars="20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（三）申报材料</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1.资金申报表（附件2）；</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2.项目资金申请承诺书（附件3）；</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3.工商营业执照复印件；</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4.上年度经会计师事务所审计的财务报表复印件（资金申报年度新注册企业不提供）及最近一月的财务报表；</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5.上级项目</w:t>
      </w:r>
      <w:r>
        <w:rPr>
          <w:rFonts w:hint="eastAsia" w:ascii="仿宋_GB2312" w:hAnsi="仿宋_GB2312" w:eastAsia="仿宋_GB2312" w:cs="仿宋_GB2312"/>
          <w:color w:val="auto"/>
          <w:sz w:val="32"/>
          <w:szCs w:val="32"/>
          <w:highlight w:val="none"/>
          <w:lang w:eastAsia="zh-CN"/>
        </w:rPr>
        <w:t>立项下达</w:t>
      </w:r>
      <w:r>
        <w:rPr>
          <w:rFonts w:hint="eastAsia" w:ascii="仿宋_GB2312" w:hAnsi="仿宋_GB2312" w:eastAsia="仿宋_GB2312" w:cs="仿宋_GB2312"/>
          <w:color w:val="auto"/>
          <w:sz w:val="32"/>
          <w:szCs w:val="32"/>
          <w:highlight w:val="none"/>
        </w:rPr>
        <w:t>文件及上级经费到账凭证；</w:t>
      </w:r>
    </w:p>
    <w:p>
      <w:pPr>
        <w:adjustRightInd w:val="0"/>
        <w:snapToGrid w:val="0"/>
        <w:spacing w:line="360" w:lineRule="auto"/>
        <w:ind w:firstLine="640" w:firstLineChars="200"/>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color w:val="auto"/>
          <w:sz w:val="32"/>
          <w:szCs w:val="32"/>
          <w:highlight w:val="none"/>
        </w:rPr>
        <w:t>6.上级项目</w:t>
      </w:r>
      <w:r>
        <w:rPr>
          <w:rFonts w:hint="eastAsia" w:ascii="仿宋_GB2312" w:hAnsi="仿宋_GB2312" w:eastAsia="仿宋_GB2312" w:cs="仿宋_GB2312"/>
          <w:color w:val="auto"/>
          <w:sz w:val="32"/>
          <w:szCs w:val="32"/>
          <w:highlight w:val="none"/>
          <w:lang w:eastAsia="zh-CN"/>
        </w:rPr>
        <w:t>立项</w:t>
      </w:r>
      <w:r>
        <w:rPr>
          <w:rFonts w:hint="eastAsia" w:ascii="仿宋_GB2312" w:hAnsi="仿宋_GB2312" w:eastAsia="仿宋_GB2312" w:cs="仿宋_GB2312"/>
          <w:color w:val="auto"/>
          <w:sz w:val="32"/>
          <w:szCs w:val="32"/>
          <w:highlight w:val="none"/>
        </w:rPr>
        <w:t>的申请</w:t>
      </w:r>
      <w:r>
        <w:rPr>
          <w:rFonts w:hint="eastAsia" w:ascii="仿宋_GB2312" w:hAnsi="仿宋_GB2312" w:eastAsia="仿宋_GB2312" w:cs="仿宋_GB2312"/>
          <w:color w:val="auto"/>
          <w:sz w:val="32"/>
          <w:szCs w:val="32"/>
          <w:highlight w:val="none"/>
          <w:lang w:eastAsia="zh-CN"/>
        </w:rPr>
        <w:t>材料</w:t>
      </w:r>
      <w:r>
        <w:rPr>
          <w:rFonts w:hint="eastAsia" w:ascii="仿宋_GB2312" w:hAnsi="仿宋_GB2312" w:eastAsia="仿宋_GB2312" w:cs="仿宋_GB2312"/>
          <w:color w:val="auto"/>
          <w:sz w:val="32"/>
          <w:szCs w:val="32"/>
          <w:highlight w:val="none"/>
        </w:rPr>
        <w:t>复印件。</w:t>
      </w:r>
    </w:p>
    <w:p>
      <w:pPr>
        <w:spacing w:line="360" w:lineRule="auto"/>
        <w:ind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新项目落地补贴专题</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（一）扶持对象及标准</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于新引入博士及以上高层次人才和团队的生物医药与健康产业项目，落户前1年至落户2年内获得中国证券投资基金业协会备案的市场化风险投资机构1000万元及以上投资（不计中山市、区财政股权投资基金出资部分），且实缴注册资本达1000万元及以上的项目，给予最高不超过实际到账风险投资金额50%的奖励，每个项目最高不超过500万元。</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（二）扶持时间</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公司注册时间或从中山市外迁入火炬区的工商变更时间为</w:t>
      </w: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日-202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30</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rPr>
        <w:t>。</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（三）申报材料</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1.资金申报表（附件2）；</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2.项目资金申请承诺书（附件3）；</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3.工商营业执照复印件（</w:t>
      </w:r>
      <w:r>
        <w:rPr>
          <w:rFonts w:hint="eastAsia" w:ascii="仿宋_GB2312" w:hAnsi="仿宋_GB2312" w:eastAsia="仿宋_GB2312" w:cs="仿宋_GB2312"/>
          <w:color w:val="auto"/>
          <w:sz w:val="32"/>
          <w:szCs w:val="32"/>
          <w:highlight w:val="none"/>
          <w:lang w:eastAsia="zh-CN"/>
        </w:rPr>
        <w:t>外迁企业提供工商相关变更证明</w:t>
      </w:r>
      <w:r>
        <w:rPr>
          <w:rFonts w:hint="eastAsia" w:ascii="仿宋_GB2312" w:hAnsi="仿宋_GB2312" w:eastAsia="仿宋_GB2312" w:cs="仿宋_GB2312"/>
          <w:color w:val="auto"/>
          <w:sz w:val="32"/>
          <w:szCs w:val="32"/>
          <w:highlight w:val="none"/>
        </w:rPr>
        <w:t>）；</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4.最近一月的财务报表；</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5.专项资金申请报告（参照附件4）；</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6.项目有关投资协议；</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7.第三方会计师事务所出具的验资报告复印件，但被相关部门列为黑名单的审计机构所出具的不予采信；</w:t>
      </w:r>
    </w:p>
    <w:p>
      <w:pPr>
        <w:spacing w:line="360" w:lineRule="auto"/>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8.获得风险</w:t>
      </w:r>
      <w:r>
        <w:rPr>
          <w:rFonts w:hint="eastAsia" w:ascii="仿宋_GB2312" w:hAnsi="仿宋_GB2312" w:eastAsia="仿宋_GB2312" w:cs="仿宋_GB2312"/>
          <w:color w:val="auto"/>
          <w:sz w:val="32"/>
          <w:szCs w:val="32"/>
          <w:highlight w:val="none"/>
          <w:lang w:eastAsia="zh-CN"/>
        </w:rPr>
        <w:t>投资机构</w:t>
      </w:r>
      <w:r>
        <w:rPr>
          <w:rFonts w:hint="eastAsia" w:ascii="仿宋_GB2312" w:hAnsi="仿宋_GB2312" w:eastAsia="仿宋_GB2312" w:cs="仿宋_GB2312"/>
          <w:color w:val="auto"/>
          <w:sz w:val="32"/>
          <w:szCs w:val="32"/>
          <w:highlight w:val="none"/>
        </w:rPr>
        <w:t>投资</w:t>
      </w:r>
      <w:r>
        <w:rPr>
          <w:rFonts w:hint="eastAsia" w:ascii="仿宋_GB2312" w:hAnsi="仿宋_GB2312" w:eastAsia="仿宋_GB2312" w:cs="仿宋_GB2312"/>
          <w:color w:val="auto"/>
          <w:sz w:val="32"/>
          <w:szCs w:val="32"/>
          <w:highlight w:val="none"/>
          <w:lang w:eastAsia="zh-CN"/>
        </w:rPr>
        <w:t>证明材料；</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其他资料（包括自主知识产权、高层次人才团队相关证明等）。</w:t>
      </w:r>
    </w:p>
    <w:p>
      <w:pPr>
        <w:numPr>
          <w:ilvl w:val="0"/>
          <w:numId w:val="0"/>
        </w:numPr>
        <w:spacing w:line="360" w:lineRule="auto"/>
        <w:ind w:firstLine="640" w:firstLineChars="200"/>
        <w:rPr>
          <w:rFonts w:hint="eastAsia" w:ascii="黑体" w:hAnsi="黑体" w:eastAsia="黑体" w:cs="黑体"/>
          <w:color w:val="auto"/>
          <w:sz w:val="32"/>
          <w:szCs w:val="32"/>
          <w:highlight w:val="none"/>
          <w:lang w:eastAsia="zh-CN"/>
        </w:rPr>
      </w:pPr>
    </w:p>
    <w:p>
      <w:pPr>
        <w:spacing w:line="360" w:lineRule="auto"/>
        <w:ind w:firstLine="640" w:firstLineChars="200"/>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三、新项目固定资产投资补贴专题</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（一）扶持对象及标准</w:t>
      </w:r>
    </w:p>
    <w:p>
      <w:pPr>
        <w:keepNext w:val="0"/>
        <w:keepLines w:val="0"/>
        <w:pageBreakBefore w:val="0"/>
        <w:kinsoku/>
        <w:wordWrap/>
        <w:overflowPunct/>
        <w:topLinePunct w:val="0"/>
        <w:autoSpaceDE w:val="0"/>
        <w:autoSpaceDN w:val="0"/>
        <w:bidi w:val="0"/>
        <w:adjustRightInd w:val="0"/>
        <w:snapToGrid w:val="0"/>
        <w:spacing w:line="600" w:lineRule="exact"/>
        <w:ind w:right="0" w:rightChars="0" w:firstLine="664" w:firstLineChars="200"/>
        <w:textAlignment w:val="auto"/>
        <w:outlineLvl w:val="9"/>
        <w:rPr>
          <w:rFonts w:hint="default" w:ascii="Times New Roman" w:hAnsi="Times New Roman" w:eastAsia="仿宋_GB2312" w:cs="Times New Roman"/>
          <w:color w:val="auto"/>
          <w:spacing w:val="6"/>
          <w:kern w:val="32"/>
          <w:sz w:val="32"/>
          <w:szCs w:val="32"/>
          <w:highlight w:val="none"/>
        </w:rPr>
      </w:pPr>
      <w:r>
        <w:rPr>
          <w:rFonts w:hint="eastAsia" w:ascii="Times New Roman" w:hAnsi="Times New Roman" w:eastAsia="仿宋_GB2312" w:cs="Times New Roman"/>
          <w:color w:val="auto"/>
          <w:spacing w:val="6"/>
          <w:kern w:val="32"/>
          <w:sz w:val="32"/>
          <w:szCs w:val="32"/>
          <w:highlight w:val="none"/>
          <w:lang w:eastAsia="zh-CN"/>
        </w:rPr>
        <w:t>对于新</w:t>
      </w:r>
      <w:r>
        <w:rPr>
          <w:rFonts w:hint="default" w:ascii="Times New Roman" w:hAnsi="Times New Roman" w:eastAsia="仿宋_GB2312" w:cs="Times New Roman"/>
          <w:color w:val="auto"/>
          <w:spacing w:val="6"/>
          <w:kern w:val="32"/>
          <w:sz w:val="32"/>
          <w:szCs w:val="32"/>
          <w:highlight w:val="none"/>
        </w:rPr>
        <w:t>引进投资总额1亿元及以上的拥有自主核心知识产权的</w:t>
      </w:r>
      <w:r>
        <w:rPr>
          <w:rFonts w:hint="default" w:ascii="Times New Roman" w:hAnsi="Times New Roman" w:eastAsia="仿宋_GB2312" w:cs="Times New Roman"/>
          <w:color w:val="auto"/>
          <w:spacing w:val="6"/>
          <w:kern w:val="32"/>
          <w:sz w:val="32"/>
          <w:szCs w:val="32"/>
          <w:highlight w:val="none"/>
        </w:rPr>
        <w:t>生物医药</w:t>
      </w:r>
      <w:r>
        <w:rPr>
          <w:rFonts w:hint="default" w:ascii="Times New Roman" w:hAnsi="Times New Roman" w:eastAsia="仿宋_GB2312" w:cs="Times New Roman"/>
          <w:color w:val="auto"/>
          <w:sz w:val="32"/>
          <w:szCs w:val="32"/>
          <w:highlight w:val="none"/>
          <w:lang w:eastAsia="zh-CN"/>
        </w:rPr>
        <w:t>与健康</w:t>
      </w:r>
      <w:r>
        <w:rPr>
          <w:rFonts w:hint="default" w:ascii="Times New Roman" w:hAnsi="Times New Roman" w:eastAsia="仿宋_GB2312" w:cs="Times New Roman"/>
          <w:color w:val="auto"/>
          <w:spacing w:val="6"/>
          <w:kern w:val="32"/>
          <w:sz w:val="32"/>
          <w:szCs w:val="32"/>
          <w:highlight w:val="none"/>
        </w:rPr>
        <w:t>产业</w:t>
      </w:r>
      <w:r>
        <w:rPr>
          <w:rFonts w:hint="default" w:ascii="Times New Roman" w:hAnsi="Times New Roman" w:eastAsia="仿宋_GB2312" w:cs="Times New Roman"/>
          <w:color w:val="auto"/>
          <w:spacing w:val="6"/>
          <w:kern w:val="32"/>
          <w:sz w:val="32"/>
          <w:szCs w:val="32"/>
          <w:highlight w:val="none"/>
        </w:rPr>
        <w:t>项目，项目落户3年内已完成固定资产投资总额在3000万元及以上的，按已完成固定资产投资金额（不含土地购置费用）的20%给予补贴，最高不超过3000万元。</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（二）扶持时间</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新引进项目</w:t>
      </w:r>
      <w:r>
        <w:rPr>
          <w:rFonts w:hint="eastAsia" w:ascii="仿宋_GB2312" w:hAnsi="仿宋_GB2312" w:eastAsia="仿宋_GB2312" w:cs="仿宋_GB2312"/>
          <w:color w:val="auto"/>
          <w:sz w:val="32"/>
          <w:szCs w:val="32"/>
          <w:highlight w:val="none"/>
          <w:lang w:eastAsia="zh-CN"/>
        </w:rPr>
        <w:t>注册</w:t>
      </w:r>
      <w:r>
        <w:rPr>
          <w:rFonts w:hint="eastAsia" w:ascii="仿宋_GB2312" w:hAnsi="仿宋_GB2312" w:eastAsia="仿宋_GB2312" w:cs="仿宋_GB2312"/>
          <w:color w:val="auto"/>
          <w:sz w:val="32"/>
          <w:szCs w:val="32"/>
          <w:highlight w:val="none"/>
        </w:rPr>
        <w:t>时间在</w:t>
      </w:r>
      <w:r>
        <w:rPr>
          <w:rFonts w:hint="eastAsia" w:ascii="仿宋_GB2312" w:hAnsi="仿宋_GB2312" w:eastAsia="仿宋_GB2312" w:cs="仿宋_GB2312"/>
          <w:color w:val="auto"/>
          <w:sz w:val="32"/>
          <w:szCs w:val="32"/>
          <w:highlight w:val="none"/>
          <w:lang w:val="en-US" w:eastAsia="zh-CN"/>
        </w:rPr>
        <w:t>2021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日-202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30</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rPr>
        <w:t>期间，补贴其在</w:t>
      </w:r>
      <w:r>
        <w:rPr>
          <w:rFonts w:hint="eastAsia" w:ascii="仿宋_GB2312" w:hAnsi="仿宋_GB2312" w:eastAsia="仿宋_GB2312" w:cs="仿宋_GB2312"/>
          <w:color w:val="auto"/>
          <w:sz w:val="32"/>
          <w:szCs w:val="32"/>
          <w:highlight w:val="none"/>
          <w:lang w:eastAsia="zh-CN"/>
        </w:rPr>
        <w:t>此</w:t>
      </w:r>
      <w:r>
        <w:rPr>
          <w:rFonts w:hint="eastAsia" w:ascii="仿宋_GB2312" w:hAnsi="仿宋_GB2312" w:eastAsia="仿宋_GB2312" w:cs="仿宋_GB2312"/>
          <w:color w:val="auto"/>
          <w:sz w:val="32"/>
          <w:szCs w:val="32"/>
          <w:highlight w:val="none"/>
        </w:rPr>
        <w:t>期间</w:t>
      </w:r>
      <w:r>
        <w:rPr>
          <w:rFonts w:hint="eastAsia" w:ascii="仿宋_GB2312" w:hAnsi="仿宋_GB2312" w:eastAsia="仿宋_GB2312" w:cs="仿宋_GB2312"/>
          <w:color w:val="auto"/>
          <w:sz w:val="32"/>
          <w:szCs w:val="32"/>
          <w:highlight w:val="none"/>
          <w:lang w:eastAsia="zh-CN"/>
        </w:rPr>
        <w:t>已完成固定资产投资</w:t>
      </w:r>
      <w:r>
        <w:rPr>
          <w:rFonts w:hint="eastAsia" w:ascii="仿宋_GB2312" w:hAnsi="仿宋_GB2312" w:eastAsia="仿宋_GB2312" w:cs="仿宋_GB2312"/>
          <w:color w:val="auto"/>
          <w:sz w:val="32"/>
          <w:szCs w:val="32"/>
          <w:highlight w:val="none"/>
        </w:rPr>
        <w:t>的费用。</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（三）申报材料</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1.资金申报表（附件2）；</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2.项目资金申请承诺书（附件3）；</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3.工商营业执照复印件；</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4.最近一月的财务报表；</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5.专项资金申请报告（参照附件4）；</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6.项目立项文件或有关投资协议；</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7.具有相应资质的第三方出具的项目专项审计报告（含固定资产已投资额的审计内容，完整提交相关复印件，并加盖公章）</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被相关部门列为黑名单的审计机构不予采信；</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项目已投入的固定资产投资数额证明，如项目建设合同（包括固定资产购置合同、建筑工程施工合同等）及对应的发票、财政票据、银行付款凭证等合法凭证复印件，注明与原件相符，并加盖公章；（发票汇总表、支付凭证汇总表，附件5）；</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9.提供厂房、大额代表性设备（含铭牌）等固定资产照片；</w:t>
      </w:r>
    </w:p>
    <w:p>
      <w:pPr>
        <w:spacing w:line="360" w:lineRule="auto"/>
        <w:ind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其他资料（</w:t>
      </w:r>
      <w:r>
        <w:rPr>
          <w:rFonts w:hint="eastAsia" w:ascii="仿宋_GB2312" w:hAnsi="仿宋_GB2312" w:eastAsia="仿宋_GB2312" w:cs="仿宋_GB2312"/>
          <w:color w:val="auto"/>
          <w:sz w:val="32"/>
          <w:szCs w:val="32"/>
          <w:highlight w:val="none"/>
          <w:lang w:eastAsia="zh-CN"/>
        </w:rPr>
        <w:t>如环境影响评价文件批复文件、建设</w:t>
      </w:r>
      <w:r>
        <w:rPr>
          <w:rFonts w:hint="eastAsia" w:ascii="仿宋_GB2312" w:hAnsi="仿宋_GB2312" w:eastAsia="仿宋_GB2312" w:cs="仿宋_GB2312"/>
          <w:color w:val="auto"/>
          <w:sz w:val="32"/>
          <w:szCs w:val="32"/>
          <w:highlight w:val="none"/>
          <w:lang w:val="en-US" w:eastAsia="zh-CN"/>
        </w:rPr>
        <w:t>工程</w:t>
      </w:r>
      <w:r>
        <w:rPr>
          <w:rFonts w:hint="eastAsia" w:ascii="仿宋_GB2312" w:hAnsi="仿宋_GB2312" w:eastAsia="仿宋_GB2312" w:cs="仿宋_GB2312"/>
          <w:color w:val="auto"/>
          <w:sz w:val="32"/>
          <w:szCs w:val="32"/>
          <w:highlight w:val="none"/>
          <w:lang w:eastAsia="zh-CN"/>
        </w:rPr>
        <w:t>规划许可证</w:t>
      </w:r>
      <w:r>
        <w:rPr>
          <w:rFonts w:hint="eastAsia" w:ascii="仿宋_GB2312" w:hAnsi="仿宋_GB2312" w:eastAsia="仿宋_GB2312" w:cs="仿宋_GB2312"/>
          <w:color w:val="auto"/>
          <w:sz w:val="32"/>
          <w:szCs w:val="32"/>
          <w:highlight w:val="none"/>
          <w:lang w:val="en-US" w:eastAsia="zh-CN"/>
        </w:rPr>
        <w:t>等</w:t>
      </w:r>
      <w:r>
        <w:rPr>
          <w:rFonts w:hint="eastAsia" w:ascii="仿宋_GB2312" w:hAnsi="仿宋_GB2312" w:eastAsia="仿宋_GB2312" w:cs="仿宋_GB2312"/>
          <w:color w:val="auto"/>
          <w:sz w:val="32"/>
          <w:szCs w:val="32"/>
          <w:highlight w:val="none"/>
        </w:rPr>
        <w:t>相关</w:t>
      </w:r>
      <w:r>
        <w:rPr>
          <w:rFonts w:hint="eastAsia" w:ascii="仿宋_GB2312" w:hAnsi="仿宋_GB2312" w:eastAsia="仿宋_GB2312" w:cs="仿宋_GB2312"/>
          <w:color w:val="auto"/>
          <w:sz w:val="32"/>
          <w:szCs w:val="32"/>
          <w:highlight w:val="none"/>
          <w:lang w:eastAsia="zh-CN"/>
        </w:rPr>
        <w:t>文件，</w:t>
      </w:r>
      <w:r>
        <w:rPr>
          <w:rFonts w:hint="eastAsia" w:ascii="仿宋_GB2312" w:hAnsi="仿宋_GB2312" w:eastAsia="仿宋_GB2312" w:cs="仿宋_GB2312"/>
          <w:color w:val="auto"/>
          <w:sz w:val="32"/>
          <w:szCs w:val="32"/>
          <w:highlight w:val="none"/>
          <w:lang w:val="en-US" w:eastAsia="zh-CN"/>
        </w:rPr>
        <w:t>提供复印件</w:t>
      </w:r>
      <w:r>
        <w:rPr>
          <w:rFonts w:hint="eastAsia" w:ascii="仿宋_GB2312" w:hAnsi="仿宋_GB2312" w:eastAsia="仿宋_GB2312" w:cs="仿宋_GB2312"/>
          <w:color w:val="auto"/>
          <w:sz w:val="32"/>
          <w:szCs w:val="32"/>
          <w:highlight w:val="none"/>
          <w:lang w:eastAsia="zh-CN"/>
        </w:rPr>
        <w:t>并加盖公章）</w:t>
      </w:r>
      <w:r>
        <w:rPr>
          <w:rFonts w:hint="eastAsia" w:ascii="仿宋_GB2312" w:hAnsi="仿宋_GB2312" w:eastAsia="仿宋_GB2312" w:cs="仿宋_GB2312"/>
          <w:color w:val="auto"/>
          <w:sz w:val="32"/>
          <w:szCs w:val="32"/>
          <w:highlight w:val="none"/>
        </w:rPr>
        <w:t>。</w:t>
      </w:r>
    </w:p>
    <w:p>
      <w:pPr>
        <w:spacing w:line="360" w:lineRule="auto"/>
        <w:ind w:firstLine="640" w:firstLineChars="200"/>
        <w:rPr>
          <w:rFonts w:hint="eastAsia" w:ascii="仿宋_GB2312" w:hAnsi="仿宋_GB2312" w:eastAsia="仿宋_GB2312" w:cs="仿宋_GB2312"/>
          <w:color w:val="auto"/>
          <w:sz w:val="32"/>
          <w:szCs w:val="32"/>
          <w:highlight w:val="none"/>
        </w:rPr>
      </w:pPr>
    </w:p>
    <w:p>
      <w:pPr>
        <w:spacing w:line="360" w:lineRule="auto"/>
        <w:ind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新项目租金补贴专题</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（一）扶持对象及标准</w:t>
      </w:r>
    </w:p>
    <w:p>
      <w:pPr>
        <w:spacing w:line="360" w:lineRule="auto"/>
        <w:ind w:firstLine="664" w:firstLineChars="200"/>
        <w:rPr>
          <w:rFonts w:hint="eastAsia" w:ascii="仿宋_GB2312" w:hAnsi="仿宋_GB2312" w:eastAsia="仿宋_GB2312" w:cs="仿宋_GB2312"/>
          <w:color w:val="auto"/>
          <w:sz w:val="32"/>
          <w:szCs w:val="32"/>
          <w:highlight w:val="none"/>
        </w:rPr>
      </w:pPr>
      <w:r>
        <w:rPr>
          <w:rFonts w:hint="eastAsia" w:eastAsia="仿宋_GB2312" w:cs="Times New Roman"/>
          <w:color w:val="auto"/>
          <w:spacing w:val="6"/>
          <w:kern w:val="32"/>
          <w:sz w:val="32"/>
          <w:szCs w:val="32"/>
          <w:highlight w:val="none"/>
          <w:lang w:eastAsia="zh-CN"/>
        </w:rPr>
        <w:t>对于符合（二）、（三）补贴专题的项目，给予租金补贴。</w:t>
      </w:r>
      <w:r>
        <w:rPr>
          <w:rFonts w:hint="default" w:ascii="Times New Roman" w:hAnsi="Times New Roman" w:eastAsia="仿宋_GB2312" w:cs="Times New Roman"/>
          <w:color w:val="auto"/>
          <w:spacing w:val="6"/>
          <w:kern w:val="32"/>
          <w:sz w:val="32"/>
          <w:szCs w:val="32"/>
          <w:highlight w:val="none"/>
          <w:lang w:eastAsia="zh-CN"/>
        </w:rPr>
        <w:t>如项目同时获得市健康医药产业专项租金补贴，则市、区两级租金补贴不得超出项目实际租金支出额度。</w:t>
      </w:r>
      <w:r>
        <w:rPr>
          <w:rFonts w:hint="eastAsia" w:ascii="仿宋_GB2312" w:hAnsi="仿宋_GB2312" w:eastAsia="仿宋_GB2312" w:cs="仿宋_GB2312"/>
          <w:color w:val="auto"/>
          <w:sz w:val="32"/>
          <w:szCs w:val="32"/>
          <w:highlight w:val="none"/>
        </w:rPr>
        <w:t>单一项目在12个月周期内在我区获得的租金补贴最高不超过200万元，补贴最长不超过36个月。</w:t>
      </w:r>
    </w:p>
    <w:p>
      <w:pPr>
        <w:spacing w:line="360" w:lineRule="auto"/>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场地租金补贴标准为最高不超过60元/平方米·月。若提供的发票实际发生额少于补贴最高标准，按实际发生额进行补助</w:t>
      </w:r>
      <w:r>
        <w:rPr>
          <w:rFonts w:hint="eastAsia" w:ascii="仿宋_GB2312" w:hAnsi="仿宋_GB2312" w:eastAsia="仿宋_GB2312" w:cs="仿宋_GB2312"/>
          <w:color w:val="auto"/>
          <w:sz w:val="32"/>
          <w:szCs w:val="32"/>
          <w:highlight w:val="none"/>
          <w:lang w:eastAsia="zh-CN"/>
        </w:rPr>
        <w:t>。</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二）扶持时间</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场地租金发生时间在</w:t>
      </w:r>
      <w:r>
        <w:rPr>
          <w:rFonts w:hint="eastAsia" w:ascii="仿宋_GB2312" w:hAnsi="仿宋_GB2312" w:eastAsia="仿宋_GB2312" w:cs="仿宋_GB2312"/>
          <w:color w:val="auto"/>
          <w:sz w:val="32"/>
          <w:szCs w:val="32"/>
          <w:highlight w:val="none"/>
          <w:lang w:val="en-US" w:eastAsia="zh-CN"/>
        </w:rPr>
        <w:t>2021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日-202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30</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rPr>
        <w:t>。</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（三）申报材料</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1.资金申报表（附件2）；</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2.项目资金申请承诺书（附件3）；</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3.工商营业执照复印件；</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4.上年度经会计师事务所审计的财务报表复印件（资金申报年度新注册企业不提供）及最近一月的财务报表；</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5.专项资金申请报告（参照附件4）；</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6.项目立项文件或有关投资协议；</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7.项目厂房或办公用房租赁合同</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房产证及土地证</w:t>
      </w:r>
      <w:r>
        <w:rPr>
          <w:rFonts w:hint="eastAsia" w:ascii="仿宋_GB2312" w:hAnsi="仿宋_GB2312" w:eastAsia="仿宋_GB2312" w:cs="仿宋_GB2312"/>
          <w:color w:val="auto"/>
          <w:sz w:val="32"/>
          <w:szCs w:val="32"/>
          <w:highlight w:val="none"/>
          <w:lang w:val="en-US" w:eastAsia="zh-CN"/>
        </w:rPr>
        <w:t>或不动产权证</w:t>
      </w:r>
      <w:r>
        <w:rPr>
          <w:rFonts w:hint="eastAsia" w:ascii="仿宋_GB2312" w:hAnsi="仿宋_GB2312" w:eastAsia="仿宋_GB2312" w:cs="仿宋_GB2312"/>
          <w:color w:val="auto"/>
          <w:sz w:val="32"/>
          <w:szCs w:val="32"/>
          <w:highlight w:val="none"/>
        </w:rPr>
        <w:t>。（提交复印件，注明与原件相符，并加盖公章）；</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8.租金支付凭证（增值税发票及对应的银行支付凭证）及发票汇总表、支付凭证汇总表（附件5）。</w:t>
      </w:r>
    </w:p>
    <w:p>
      <w:pPr>
        <w:numPr>
          <w:ilvl w:val="0"/>
          <w:numId w:val="0"/>
        </w:numPr>
        <w:spacing w:line="360" w:lineRule="auto"/>
        <w:ind w:firstLine="640" w:firstLineChars="200"/>
        <w:rPr>
          <w:rFonts w:hint="eastAsia" w:ascii="黑体" w:hAnsi="黑体" w:eastAsia="黑体" w:cs="黑体"/>
          <w:color w:val="auto"/>
          <w:sz w:val="32"/>
          <w:szCs w:val="32"/>
          <w:highlight w:val="none"/>
          <w:lang w:eastAsia="zh-CN"/>
        </w:rPr>
      </w:pPr>
    </w:p>
    <w:p>
      <w:pPr>
        <w:numPr>
          <w:ilvl w:val="0"/>
          <w:numId w:val="0"/>
        </w:numPr>
        <w:spacing w:line="360" w:lineRule="auto"/>
        <w:ind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五、产业</w:t>
      </w:r>
      <w:r>
        <w:rPr>
          <w:rFonts w:hint="eastAsia" w:ascii="黑体" w:hAnsi="黑体" w:eastAsia="黑体" w:cs="黑体"/>
          <w:color w:val="auto"/>
          <w:sz w:val="32"/>
          <w:szCs w:val="32"/>
          <w:highlight w:val="none"/>
        </w:rPr>
        <w:t>公共服务平台专题</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（一）扶持对象及标准</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对于</w:t>
      </w:r>
      <w:r>
        <w:rPr>
          <w:rFonts w:hint="eastAsia" w:ascii="仿宋_GB2312" w:hAnsi="仿宋_GB2312" w:eastAsia="仿宋_GB2312" w:cs="仿宋_GB2312"/>
          <w:color w:val="auto"/>
          <w:sz w:val="32"/>
          <w:szCs w:val="32"/>
          <w:highlight w:val="none"/>
        </w:rPr>
        <w:t>生物医药与健康产业公共服务平台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经区经济科技部门对应的上级业务主管部门认定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含经省级以上药品检验、质量检测等相关职能部门批准建设的检验检测公共服务平台以及中山市政府相关会议纪要等文件同意建设的平台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或经我区组织项目评审专家认定为重点发展生物医药与健康产业公共服务平台的，择优给予租金和建设费用补贴支持。</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平台</w:t>
      </w:r>
      <w:r>
        <w:rPr>
          <w:rFonts w:hint="eastAsia" w:ascii="仿宋_GB2312" w:hAnsi="仿宋_GB2312" w:eastAsia="仿宋_GB2312" w:cs="仿宋_GB2312"/>
          <w:color w:val="auto"/>
          <w:sz w:val="32"/>
          <w:szCs w:val="32"/>
          <w:highlight w:val="none"/>
        </w:rPr>
        <w:t>业务范围包括技术研发（含药物临床前药学和药理研究、安全性评价、药物临床研究、一致性评价、实验动物研究服务、医疗器械和诊断试剂转化研究、生物医学工程技术研究、化妆品和保健食品、特殊食品功效与安全性等技术研究）、检验检测、生物医药专业创业孵化、精准医疗（含细胞干细胞研究、基因测序与诊断研究、基因治疗及递送技术研究）、注册申报服务等</w:t>
      </w:r>
      <w:r>
        <w:rPr>
          <w:rFonts w:hint="eastAsia" w:ascii="仿宋_GB2312" w:hAnsi="仿宋_GB2312" w:eastAsia="仿宋_GB2312" w:cs="仿宋_GB2312"/>
          <w:color w:val="auto"/>
          <w:sz w:val="32"/>
          <w:szCs w:val="32"/>
          <w:highlight w:val="none"/>
          <w:lang w:eastAsia="zh-CN"/>
        </w:rPr>
        <w:t>。</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具体支持标准如下：</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给予平台租赁经营场地租金补贴。如平台已获得中山市健康医药产业专项的租金支持，则扣除已获得的相关支持额度，给予差额部分补贴。单一平台在12个月周期内租金补贴最高不超过300万元，补贴最长不超过36个月。</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按照平台项目实际投入建设费用（含室内装修和仪器设备购置）的30%给予补贴，实际投入建设费用须达到1000万元以上且仪器设备投入占比不低于60%，每个平台补贴最高不超过2000万元。</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场地租金补贴标准为最高不超过60元/平方米·月。若提供的发票实际发生额少于补贴最高标准，按实际发生额进行补助</w:t>
      </w:r>
      <w:r>
        <w:rPr>
          <w:rFonts w:hint="eastAsia" w:ascii="仿宋_GB2312" w:hAnsi="仿宋_GB2312" w:eastAsia="仿宋_GB2312" w:cs="仿宋_GB2312"/>
          <w:color w:val="auto"/>
          <w:sz w:val="32"/>
          <w:szCs w:val="32"/>
          <w:highlight w:val="none"/>
          <w:lang w:eastAsia="zh-CN"/>
        </w:rPr>
        <w:t>。</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（二）扶持时间</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日-202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30</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rPr>
        <w:t>期间获得区经济科技部门对应上级业务主管部门认定的生物医药与健康产业公共服务平台。</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按照</w:t>
      </w:r>
      <w:r>
        <w:rPr>
          <w:rFonts w:hint="eastAsia" w:ascii="仿宋_GB2312" w:hAnsi="仿宋_GB2312" w:eastAsia="仿宋_GB2312" w:cs="仿宋_GB2312"/>
          <w:color w:val="auto"/>
          <w:sz w:val="32"/>
          <w:szCs w:val="32"/>
          <w:highlight w:val="none"/>
        </w:rPr>
        <w:t>《中山火炬开发区健康医药产业发展专项资金管理办法》（火炬党政办〔2019〕23号）</w:t>
      </w:r>
      <w:r>
        <w:rPr>
          <w:rFonts w:hint="eastAsia" w:ascii="仿宋_GB2312" w:hAnsi="仿宋_GB2312" w:eastAsia="仿宋_GB2312" w:cs="仿宋_GB2312"/>
          <w:color w:val="auto"/>
          <w:sz w:val="32"/>
          <w:szCs w:val="32"/>
          <w:highlight w:val="none"/>
          <w:lang w:eastAsia="zh-CN"/>
        </w:rPr>
        <w:t>已获得过</w:t>
      </w:r>
      <w:r>
        <w:rPr>
          <w:rFonts w:hint="eastAsia" w:ascii="仿宋_GB2312" w:hAnsi="仿宋_GB2312" w:eastAsia="仿宋_GB2312" w:cs="仿宋_GB2312"/>
          <w:color w:val="auto"/>
          <w:sz w:val="32"/>
          <w:szCs w:val="32"/>
          <w:highlight w:val="none"/>
        </w:rPr>
        <w:t>租金补贴</w:t>
      </w:r>
      <w:r>
        <w:rPr>
          <w:rFonts w:hint="eastAsia" w:ascii="仿宋_GB2312" w:hAnsi="仿宋_GB2312" w:eastAsia="仿宋_GB2312" w:cs="仿宋_GB2312"/>
          <w:color w:val="auto"/>
          <w:sz w:val="32"/>
          <w:szCs w:val="32"/>
          <w:highlight w:val="none"/>
          <w:lang w:eastAsia="zh-CN"/>
        </w:rPr>
        <w:t>且补贴</w:t>
      </w:r>
      <w:r>
        <w:rPr>
          <w:rFonts w:hint="eastAsia" w:ascii="仿宋_GB2312" w:hAnsi="仿宋_GB2312" w:eastAsia="仿宋_GB2312" w:cs="仿宋_GB2312"/>
          <w:color w:val="auto"/>
          <w:sz w:val="32"/>
          <w:szCs w:val="32"/>
          <w:highlight w:val="none"/>
        </w:rPr>
        <w:t>不超过36个</w:t>
      </w:r>
      <w:r>
        <w:rPr>
          <w:rFonts w:hint="eastAsia" w:ascii="仿宋_GB2312" w:hAnsi="仿宋_GB2312" w:eastAsia="仿宋_GB2312" w:cs="仿宋_GB2312"/>
          <w:color w:val="auto"/>
          <w:sz w:val="32"/>
          <w:szCs w:val="32"/>
          <w:highlight w:val="none"/>
          <w:lang w:eastAsia="zh-CN"/>
        </w:rPr>
        <w:t>月的平台，不受上述平台认定时间限定。</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2021年1月1日后新引进而</w:t>
      </w:r>
      <w:r>
        <w:rPr>
          <w:rFonts w:hint="eastAsia" w:ascii="仿宋_GB2312" w:hAnsi="仿宋_GB2312" w:eastAsia="仿宋_GB2312" w:cs="仿宋_GB2312"/>
          <w:color w:val="auto"/>
          <w:sz w:val="32"/>
          <w:szCs w:val="32"/>
          <w:highlight w:val="none"/>
          <w:lang w:eastAsia="zh-CN"/>
        </w:rPr>
        <w:t>未获得上级业务部门认定的平台，可填报</w:t>
      </w:r>
      <w:r>
        <w:rPr>
          <w:rFonts w:hint="eastAsia" w:ascii="仿宋_GB2312" w:hAnsi="仿宋_GB2312" w:eastAsia="仿宋_GB2312" w:cs="仿宋_GB2312"/>
          <w:color w:val="auto"/>
          <w:sz w:val="32"/>
          <w:szCs w:val="32"/>
          <w:highlight w:val="none"/>
          <w:lang w:val="en-US" w:eastAsia="zh-CN"/>
        </w:rPr>
        <w:t>《公共服务平台认定表》（</w:t>
      </w:r>
      <w:r>
        <w:rPr>
          <w:rFonts w:hint="eastAsia" w:ascii="仿宋_GB2312" w:hAnsi="仿宋_GB2312" w:eastAsia="仿宋_GB2312" w:cs="仿宋_GB2312"/>
          <w:color w:val="auto"/>
          <w:sz w:val="32"/>
          <w:szCs w:val="32"/>
          <w:highlight w:val="none"/>
          <w:lang w:eastAsia="zh-CN"/>
        </w:rPr>
        <w:t>附件</w:t>
      </w:r>
      <w:r>
        <w:rPr>
          <w:rFonts w:hint="eastAsia" w:ascii="仿宋_GB2312" w:hAnsi="仿宋_GB2312" w:eastAsia="仿宋_GB2312" w:cs="仿宋_GB2312"/>
          <w:color w:val="auto"/>
          <w:sz w:val="32"/>
          <w:szCs w:val="32"/>
          <w:highlight w:val="none"/>
          <w:lang w:val="en-US" w:eastAsia="zh-CN"/>
        </w:rPr>
        <w:t>7），同步申请</w:t>
      </w:r>
      <w:r>
        <w:rPr>
          <w:rFonts w:hint="eastAsia" w:ascii="仿宋_GB2312" w:hAnsi="仿宋_GB2312" w:eastAsia="仿宋_GB2312" w:cs="仿宋_GB2312"/>
          <w:color w:val="auto"/>
          <w:sz w:val="32"/>
          <w:szCs w:val="32"/>
          <w:highlight w:val="none"/>
        </w:rPr>
        <w:t>生物医药与健康产业公共服务平台</w:t>
      </w:r>
      <w:r>
        <w:rPr>
          <w:rFonts w:hint="eastAsia" w:ascii="仿宋_GB2312" w:hAnsi="仿宋_GB2312" w:eastAsia="仿宋_GB2312" w:cs="仿宋_GB2312"/>
          <w:color w:val="auto"/>
          <w:sz w:val="32"/>
          <w:szCs w:val="32"/>
          <w:highlight w:val="none"/>
          <w:lang w:eastAsia="zh-CN"/>
        </w:rPr>
        <w:t>认定及相关资助。</w:t>
      </w:r>
    </w:p>
    <w:p>
      <w:pPr>
        <w:pStyle w:val="3"/>
        <w:topLinePunct/>
        <w:spacing w:line="360" w:lineRule="auto"/>
        <w:ind w:left="0" w:firstLine="640" w:firstLineChars="20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（三）申报材料</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1.资金申报表（附件2）；</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2.项目资金申请承诺书（附件3）；</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3.工商营业执照复印件；</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4.上年度经会计师事务所审计的财务报表复印件（资金申报年度新注册企业不提供）及最近一月的财务报表；</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5.专项资金申请报告（参照附件4）；</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6.项目立项文件或有关投资协议；</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7.平台场地租赁合同及平台场地的房产证及土地证</w:t>
      </w:r>
      <w:r>
        <w:rPr>
          <w:rFonts w:hint="eastAsia" w:ascii="仿宋_GB2312" w:hAnsi="仿宋_GB2312" w:eastAsia="仿宋_GB2312" w:cs="仿宋_GB2312"/>
          <w:color w:val="auto"/>
          <w:sz w:val="32"/>
          <w:szCs w:val="32"/>
          <w:highlight w:val="none"/>
          <w:lang w:eastAsia="zh-CN"/>
        </w:rPr>
        <w:t>或不动产权证</w:t>
      </w:r>
      <w:r>
        <w:rPr>
          <w:rFonts w:hint="eastAsia" w:ascii="仿宋_GB2312" w:hAnsi="仿宋_GB2312" w:eastAsia="仿宋_GB2312" w:cs="仿宋_GB2312"/>
          <w:color w:val="auto"/>
          <w:sz w:val="32"/>
          <w:szCs w:val="32"/>
          <w:highlight w:val="none"/>
        </w:rPr>
        <w:t>。（提交复印件，注明与原件相符，并加盖公章）；</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8.租金支付凭证（发票及对应的银行支付凭证）及发票汇总表、支付凭证汇总表（附件5）；（申请租金补贴需提供）</w:t>
      </w:r>
    </w:p>
    <w:p>
      <w:pPr>
        <w:spacing w:line="360" w:lineRule="auto"/>
        <w:ind w:firstLine="664"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napToGrid w:val="0"/>
          <w:color w:val="auto"/>
          <w:spacing w:val="6"/>
          <w:kern w:val="32"/>
          <w:sz w:val="32"/>
          <w:szCs w:val="32"/>
          <w:highlight w:val="none"/>
        </w:rPr>
        <w:t>9.</w:t>
      </w:r>
      <w:r>
        <w:rPr>
          <w:rFonts w:hint="eastAsia" w:ascii="仿宋_GB2312" w:hAnsi="仿宋_GB2312" w:eastAsia="仿宋_GB2312" w:cs="仿宋_GB2312"/>
          <w:color w:val="auto"/>
          <w:sz w:val="32"/>
          <w:szCs w:val="32"/>
          <w:highlight w:val="none"/>
        </w:rPr>
        <w:t>具有相应资质的第三方出具的项目专项审计报告（含室内装修和仪器设备购置</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rPr>
        <w:t>已投资</w:t>
      </w:r>
      <w:r>
        <w:rPr>
          <w:rFonts w:hint="eastAsia" w:ascii="仿宋_GB2312" w:hAnsi="仿宋_GB2312" w:eastAsia="仿宋_GB2312" w:cs="仿宋_GB2312"/>
          <w:color w:val="auto"/>
          <w:sz w:val="32"/>
          <w:szCs w:val="32"/>
          <w:highlight w:val="none"/>
          <w:lang w:eastAsia="zh-CN"/>
        </w:rPr>
        <w:t>建设费用</w:t>
      </w:r>
      <w:r>
        <w:rPr>
          <w:rFonts w:hint="eastAsia" w:ascii="仿宋_GB2312" w:hAnsi="仿宋_GB2312" w:eastAsia="仿宋_GB2312" w:cs="仿宋_GB2312"/>
          <w:color w:val="auto"/>
          <w:sz w:val="32"/>
          <w:szCs w:val="32"/>
          <w:highlight w:val="none"/>
        </w:rPr>
        <w:t>的审计内容，完整提交相关复印件，并加盖公章）</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被相关部门列为黑名单的审计机构不予采信；</w:t>
      </w:r>
    </w:p>
    <w:p>
      <w:pPr>
        <w:adjustRightInd w:val="0"/>
        <w:snapToGrid w:val="0"/>
        <w:spacing w:line="360" w:lineRule="auto"/>
        <w:ind w:firstLine="640" w:firstLineChars="200"/>
        <w:rPr>
          <w:rFonts w:hint="eastAsia" w:ascii="仿宋_GB2312" w:hAnsi="仿宋_GB2312" w:eastAsia="仿宋_GB2312" w:cs="仿宋_GB2312"/>
          <w:snapToGrid w:val="0"/>
          <w:color w:val="auto"/>
          <w:spacing w:val="6"/>
          <w:kern w:val="32"/>
          <w:sz w:val="32"/>
          <w:szCs w:val="32"/>
          <w:highlight w:val="none"/>
          <w:lang w:eastAsia="zh-CN"/>
        </w:rPr>
      </w:pPr>
      <w:r>
        <w:rPr>
          <w:rFonts w:hint="eastAsia" w:ascii="仿宋_GB2312" w:hAnsi="仿宋_GB2312" w:eastAsia="仿宋_GB2312" w:cs="仿宋_GB2312"/>
          <w:color w:val="auto"/>
          <w:sz w:val="32"/>
          <w:szCs w:val="32"/>
          <w:highlight w:val="none"/>
        </w:rPr>
        <w:t>10.</w:t>
      </w:r>
      <w:r>
        <w:rPr>
          <w:rFonts w:hint="eastAsia" w:ascii="仿宋_GB2312" w:hAnsi="仿宋_GB2312" w:eastAsia="仿宋_GB2312" w:cs="仿宋_GB2312"/>
          <w:snapToGrid w:val="0"/>
          <w:color w:val="auto"/>
          <w:spacing w:val="6"/>
          <w:kern w:val="32"/>
          <w:sz w:val="32"/>
          <w:szCs w:val="32"/>
          <w:highlight w:val="none"/>
        </w:rPr>
        <w:t>平台项目装修平面图，装修合同、费用支付凭证及发票汇总表、支付凭证汇总表（附件5</w:t>
      </w:r>
      <w:r>
        <w:rPr>
          <w:rFonts w:hint="eastAsia" w:ascii="仿宋_GB2312" w:hAnsi="仿宋_GB2312" w:eastAsia="仿宋_GB2312" w:cs="仿宋_GB2312"/>
          <w:snapToGrid w:val="0"/>
          <w:color w:val="auto"/>
          <w:spacing w:val="6"/>
          <w:kern w:val="32"/>
          <w:sz w:val="32"/>
          <w:szCs w:val="32"/>
          <w:highlight w:val="none"/>
          <w:lang w:eastAsia="zh-CN"/>
        </w:rPr>
        <w:t>，</w:t>
      </w:r>
      <w:r>
        <w:rPr>
          <w:rFonts w:hint="eastAsia" w:ascii="仿宋_GB2312" w:hAnsi="仿宋_GB2312" w:eastAsia="仿宋_GB2312" w:cs="仿宋_GB2312"/>
          <w:snapToGrid w:val="0"/>
          <w:color w:val="auto"/>
          <w:spacing w:val="6"/>
          <w:kern w:val="32"/>
          <w:sz w:val="32"/>
          <w:szCs w:val="32"/>
          <w:highlight w:val="none"/>
        </w:rPr>
        <w:t>申请</w:t>
      </w:r>
      <w:r>
        <w:rPr>
          <w:rFonts w:hint="eastAsia" w:ascii="仿宋_GB2312" w:hAnsi="仿宋_GB2312" w:eastAsia="仿宋_GB2312" w:cs="仿宋_GB2312"/>
          <w:snapToGrid w:val="0"/>
          <w:color w:val="auto"/>
          <w:spacing w:val="6"/>
          <w:kern w:val="32"/>
          <w:sz w:val="32"/>
          <w:szCs w:val="32"/>
          <w:highlight w:val="none"/>
          <w:lang w:eastAsia="zh-CN"/>
        </w:rPr>
        <w:t>建设费用</w:t>
      </w:r>
      <w:r>
        <w:rPr>
          <w:rFonts w:hint="eastAsia" w:ascii="仿宋_GB2312" w:hAnsi="仿宋_GB2312" w:eastAsia="仿宋_GB2312" w:cs="仿宋_GB2312"/>
          <w:snapToGrid w:val="0"/>
          <w:color w:val="auto"/>
          <w:spacing w:val="6"/>
          <w:kern w:val="32"/>
          <w:sz w:val="32"/>
          <w:szCs w:val="32"/>
          <w:highlight w:val="none"/>
        </w:rPr>
        <w:t>补贴需提供）</w:t>
      </w:r>
      <w:r>
        <w:rPr>
          <w:rFonts w:hint="eastAsia" w:ascii="仿宋_GB2312" w:hAnsi="仿宋_GB2312" w:eastAsia="仿宋_GB2312" w:cs="仿宋_GB2312"/>
          <w:snapToGrid w:val="0"/>
          <w:color w:val="auto"/>
          <w:spacing w:val="6"/>
          <w:kern w:val="32"/>
          <w:sz w:val="32"/>
          <w:szCs w:val="32"/>
          <w:highlight w:val="none"/>
          <w:lang w:eastAsia="zh-CN"/>
        </w:rPr>
        <w:t>；</w:t>
      </w:r>
    </w:p>
    <w:p>
      <w:pPr>
        <w:adjustRightInd w:val="0"/>
        <w:snapToGrid w:val="0"/>
        <w:spacing w:line="360" w:lineRule="auto"/>
        <w:ind w:firstLine="640" w:firstLineChars="200"/>
        <w:rPr>
          <w:rFonts w:hint="eastAsia" w:ascii="仿宋_GB2312" w:hAnsi="仿宋_GB2312" w:eastAsia="仿宋_GB2312" w:cs="仿宋_GB2312"/>
          <w:snapToGrid w:val="0"/>
          <w:color w:val="auto"/>
          <w:spacing w:val="6"/>
          <w:kern w:val="32"/>
          <w:sz w:val="32"/>
          <w:szCs w:val="32"/>
          <w:highlight w:val="none"/>
        </w:rPr>
      </w:pPr>
      <w:r>
        <w:rPr>
          <w:rFonts w:hint="eastAsia" w:ascii="仿宋_GB2312" w:hAnsi="仿宋_GB2312" w:eastAsia="仿宋_GB2312" w:cs="仿宋_GB2312"/>
          <w:color w:val="auto"/>
          <w:sz w:val="32"/>
          <w:szCs w:val="32"/>
          <w:highlight w:val="none"/>
          <w:lang w:val="en-US" w:eastAsia="zh-CN"/>
        </w:rPr>
        <w:t>11、</w:t>
      </w:r>
      <w:r>
        <w:rPr>
          <w:rFonts w:hint="eastAsia" w:ascii="仿宋_GB2312" w:hAnsi="仿宋_GB2312" w:eastAsia="仿宋_GB2312" w:cs="仿宋_GB2312"/>
          <w:color w:val="auto"/>
          <w:sz w:val="32"/>
          <w:szCs w:val="32"/>
          <w:highlight w:val="none"/>
        </w:rPr>
        <w:t>提供仪器设备清单，设备购置支付凭证（发票及对应的银行支付凭证）及发票汇总表、支付凭证汇总表（附件5），代表性设备（含铭牌）照片；（</w:t>
      </w:r>
      <w:r>
        <w:rPr>
          <w:rFonts w:hint="eastAsia" w:ascii="仿宋_GB2312" w:hAnsi="仿宋_GB2312" w:eastAsia="仿宋_GB2312" w:cs="仿宋_GB2312"/>
          <w:snapToGrid w:val="0"/>
          <w:color w:val="auto"/>
          <w:spacing w:val="6"/>
          <w:kern w:val="32"/>
          <w:sz w:val="32"/>
          <w:szCs w:val="32"/>
          <w:highlight w:val="none"/>
        </w:rPr>
        <w:t>申请</w:t>
      </w:r>
      <w:r>
        <w:rPr>
          <w:rFonts w:hint="eastAsia" w:ascii="仿宋_GB2312" w:hAnsi="仿宋_GB2312" w:eastAsia="仿宋_GB2312" w:cs="仿宋_GB2312"/>
          <w:snapToGrid w:val="0"/>
          <w:color w:val="auto"/>
          <w:spacing w:val="6"/>
          <w:kern w:val="32"/>
          <w:sz w:val="32"/>
          <w:szCs w:val="32"/>
          <w:highlight w:val="none"/>
          <w:lang w:eastAsia="zh-CN"/>
        </w:rPr>
        <w:t>建设费用</w:t>
      </w:r>
      <w:r>
        <w:rPr>
          <w:rFonts w:hint="eastAsia" w:ascii="仿宋_GB2312" w:hAnsi="仿宋_GB2312" w:eastAsia="仿宋_GB2312" w:cs="仿宋_GB2312"/>
          <w:snapToGrid w:val="0"/>
          <w:color w:val="auto"/>
          <w:spacing w:val="6"/>
          <w:kern w:val="32"/>
          <w:sz w:val="32"/>
          <w:szCs w:val="32"/>
          <w:highlight w:val="none"/>
        </w:rPr>
        <w:t>补贴需提供</w:t>
      </w:r>
      <w:r>
        <w:rPr>
          <w:rFonts w:hint="eastAsia" w:ascii="仿宋_GB2312" w:hAnsi="仿宋_GB2312" w:eastAsia="仿宋_GB2312" w:cs="仿宋_GB2312"/>
          <w:color w:val="auto"/>
          <w:sz w:val="32"/>
          <w:szCs w:val="32"/>
          <w:highlight w:val="none"/>
        </w:rPr>
        <w:t>）</w:t>
      </w:r>
    </w:p>
    <w:p>
      <w:pPr>
        <w:adjustRightInd w:val="0"/>
        <w:snapToGrid w:val="0"/>
        <w:spacing w:line="360" w:lineRule="auto"/>
        <w:ind w:firstLine="664" w:firstLineChars="200"/>
        <w:rPr>
          <w:rFonts w:eastAsia="仿宋_GB2312"/>
          <w:snapToGrid w:val="0"/>
          <w:color w:val="auto"/>
          <w:spacing w:val="6"/>
          <w:kern w:val="32"/>
          <w:sz w:val="32"/>
          <w:szCs w:val="32"/>
          <w:highlight w:val="none"/>
        </w:rPr>
      </w:pPr>
    </w:p>
    <w:p>
      <w:pPr>
        <w:spacing w:line="360" w:lineRule="auto"/>
        <w:ind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六、</w:t>
      </w:r>
      <w:r>
        <w:rPr>
          <w:rFonts w:hint="eastAsia" w:ascii="黑体" w:hAnsi="黑体" w:eastAsia="黑体" w:cs="黑体"/>
          <w:color w:val="auto"/>
          <w:sz w:val="32"/>
          <w:szCs w:val="32"/>
          <w:highlight w:val="none"/>
        </w:rPr>
        <w:t>CMO/CDMO平台补贴专题</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（一）扶持对象及标准</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对于新建生物医药合同生产和合同开发生产服务平台（CMO/CDMO），给予每个平台最长不超过36个月场地和仪器设备租赁租金补贴，在12个月周期内补贴最高不超过500万元且不超过实际发生的租赁费用。</w:t>
      </w:r>
    </w:p>
    <w:p>
      <w:pPr>
        <w:keepNext w:val="0"/>
        <w:keepLines w:val="0"/>
        <w:pageBreakBefore w:val="0"/>
        <w:kinsoku/>
        <w:wordWrap/>
        <w:overflowPunct/>
        <w:topLinePunct w:val="0"/>
        <w:autoSpaceDE w:val="0"/>
        <w:autoSpaceDN w:val="0"/>
        <w:bidi w:val="0"/>
        <w:adjustRightInd w:val="0"/>
        <w:snapToGrid w:val="0"/>
        <w:spacing w:line="600" w:lineRule="exact"/>
        <w:ind w:right="0" w:rightChars="0" w:firstLine="664" w:firstLineChars="200"/>
        <w:jc w:val="both"/>
        <w:textAlignment w:val="auto"/>
        <w:outlineLvl w:val="9"/>
        <w:rPr>
          <w:rFonts w:hint="default" w:ascii="Times New Roman" w:hAnsi="Times New Roman" w:eastAsia="仿宋_GB2312" w:cs="Times New Roman"/>
          <w:color w:val="auto"/>
          <w:spacing w:val="6"/>
          <w:kern w:val="32"/>
          <w:sz w:val="32"/>
          <w:szCs w:val="32"/>
          <w:highlight w:val="none"/>
        </w:rPr>
      </w:pPr>
      <w:r>
        <w:rPr>
          <w:rFonts w:hint="default" w:ascii="Times New Roman" w:hAnsi="Times New Roman" w:eastAsia="仿宋_GB2312" w:cs="Times New Roman"/>
          <w:color w:val="auto"/>
          <w:spacing w:val="6"/>
          <w:kern w:val="32"/>
          <w:sz w:val="32"/>
          <w:szCs w:val="32"/>
          <w:highlight w:val="none"/>
        </w:rPr>
        <w:t>租赁补贴计算标准为场地租金补贴最高不超过60元/平方米·月</w:t>
      </w:r>
      <w:r>
        <w:rPr>
          <w:rFonts w:hint="eastAsia" w:eastAsia="仿宋_GB2312" w:cs="Times New Roman"/>
          <w:color w:val="auto"/>
          <w:spacing w:val="6"/>
          <w:kern w:val="32"/>
          <w:sz w:val="32"/>
          <w:szCs w:val="32"/>
          <w:highlight w:val="none"/>
          <w:lang w:eastAsia="zh-CN"/>
        </w:rPr>
        <w:t>，</w:t>
      </w:r>
      <w:r>
        <w:rPr>
          <w:rFonts w:hint="default" w:ascii="Times New Roman" w:hAnsi="Times New Roman" w:eastAsia="仿宋_GB2312" w:cs="Times New Roman"/>
          <w:color w:val="auto"/>
          <w:spacing w:val="6"/>
          <w:kern w:val="32"/>
          <w:sz w:val="32"/>
          <w:szCs w:val="32"/>
          <w:highlight w:val="none"/>
        </w:rPr>
        <w:t>若提供的发票实际发生额少于补贴最高标准，按实际发生额进行补助；仪器设备租赁补贴为在12个月周期内最高不超过所租赁仪器设备原值的10%。</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（二）扶持时间</w:t>
      </w:r>
    </w:p>
    <w:p>
      <w:pPr>
        <w:keepNext w:val="0"/>
        <w:keepLines w:val="0"/>
        <w:pageBreakBefore w:val="0"/>
        <w:kinsoku/>
        <w:wordWrap/>
        <w:overflowPunct/>
        <w:topLinePunct w:val="0"/>
        <w:autoSpaceDE w:val="0"/>
        <w:autoSpaceDN w:val="0"/>
        <w:bidi w:val="0"/>
        <w:adjustRightInd w:val="0"/>
        <w:snapToGrid w:val="0"/>
        <w:spacing w:line="600" w:lineRule="exact"/>
        <w:ind w:right="0" w:rightChars="0" w:firstLine="664" w:firstLineChars="200"/>
        <w:jc w:val="both"/>
        <w:textAlignment w:val="auto"/>
        <w:outlineLvl w:val="9"/>
        <w:rPr>
          <w:rFonts w:hint="eastAsia" w:ascii="Times New Roman" w:hAnsi="Times New Roman" w:eastAsia="仿宋_GB2312" w:cs="Times New Roman"/>
          <w:color w:val="auto"/>
          <w:spacing w:val="6"/>
          <w:kern w:val="32"/>
          <w:sz w:val="32"/>
          <w:szCs w:val="32"/>
          <w:highlight w:val="none"/>
        </w:rPr>
      </w:pPr>
      <w:r>
        <w:rPr>
          <w:rFonts w:hint="eastAsia" w:ascii="Times New Roman" w:hAnsi="Times New Roman" w:eastAsia="仿宋_GB2312" w:cs="Times New Roman"/>
          <w:color w:val="auto"/>
          <w:spacing w:val="6"/>
          <w:kern w:val="32"/>
          <w:sz w:val="32"/>
          <w:szCs w:val="32"/>
          <w:highlight w:val="none"/>
          <w:lang w:val="en-US" w:eastAsia="zh-CN"/>
        </w:rPr>
        <w:t>201</w:t>
      </w:r>
      <w:r>
        <w:rPr>
          <w:rFonts w:hint="eastAsia" w:eastAsia="仿宋_GB2312" w:cs="Times New Roman"/>
          <w:color w:val="auto"/>
          <w:spacing w:val="6"/>
          <w:kern w:val="32"/>
          <w:sz w:val="32"/>
          <w:szCs w:val="32"/>
          <w:highlight w:val="none"/>
          <w:lang w:val="en-US" w:eastAsia="zh-CN"/>
        </w:rPr>
        <w:t>9</w:t>
      </w:r>
      <w:r>
        <w:rPr>
          <w:rFonts w:hint="eastAsia" w:ascii="Times New Roman" w:hAnsi="Times New Roman" w:eastAsia="仿宋_GB2312" w:cs="Times New Roman"/>
          <w:color w:val="auto"/>
          <w:spacing w:val="6"/>
          <w:kern w:val="32"/>
          <w:sz w:val="32"/>
          <w:szCs w:val="32"/>
          <w:highlight w:val="none"/>
        </w:rPr>
        <w:t>年</w:t>
      </w:r>
      <w:r>
        <w:rPr>
          <w:rFonts w:hint="eastAsia" w:ascii="Times New Roman" w:hAnsi="Times New Roman" w:eastAsia="仿宋_GB2312" w:cs="Times New Roman"/>
          <w:color w:val="auto"/>
          <w:spacing w:val="6"/>
          <w:kern w:val="32"/>
          <w:sz w:val="32"/>
          <w:szCs w:val="32"/>
          <w:highlight w:val="none"/>
          <w:lang w:val="en-US" w:eastAsia="zh-CN"/>
        </w:rPr>
        <w:t>1</w:t>
      </w:r>
      <w:r>
        <w:rPr>
          <w:rFonts w:hint="eastAsia" w:ascii="Times New Roman" w:hAnsi="Times New Roman" w:eastAsia="仿宋_GB2312" w:cs="Times New Roman"/>
          <w:color w:val="auto"/>
          <w:spacing w:val="6"/>
          <w:kern w:val="32"/>
          <w:sz w:val="32"/>
          <w:szCs w:val="32"/>
          <w:highlight w:val="none"/>
        </w:rPr>
        <w:t>月</w:t>
      </w:r>
      <w:r>
        <w:rPr>
          <w:rFonts w:hint="eastAsia" w:ascii="Times New Roman" w:hAnsi="Times New Roman" w:eastAsia="仿宋_GB2312" w:cs="Times New Roman"/>
          <w:color w:val="auto"/>
          <w:spacing w:val="6"/>
          <w:kern w:val="32"/>
          <w:sz w:val="32"/>
          <w:szCs w:val="32"/>
          <w:highlight w:val="none"/>
          <w:lang w:val="en-US" w:eastAsia="zh-CN"/>
        </w:rPr>
        <w:t>1</w:t>
      </w:r>
      <w:r>
        <w:rPr>
          <w:rFonts w:hint="eastAsia" w:ascii="Times New Roman" w:hAnsi="Times New Roman" w:eastAsia="仿宋_GB2312" w:cs="Times New Roman"/>
          <w:color w:val="auto"/>
          <w:spacing w:val="6"/>
          <w:kern w:val="32"/>
          <w:sz w:val="32"/>
          <w:szCs w:val="32"/>
          <w:highlight w:val="none"/>
        </w:rPr>
        <w:t>日-202</w:t>
      </w:r>
      <w:r>
        <w:rPr>
          <w:rFonts w:hint="eastAsia" w:ascii="Times New Roman" w:hAnsi="Times New Roman" w:eastAsia="仿宋_GB2312" w:cs="Times New Roman"/>
          <w:color w:val="auto"/>
          <w:spacing w:val="6"/>
          <w:kern w:val="32"/>
          <w:sz w:val="32"/>
          <w:szCs w:val="32"/>
          <w:highlight w:val="none"/>
          <w:lang w:val="en-US" w:eastAsia="zh-CN"/>
        </w:rPr>
        <w:t>1</w:t>
      </w:r>
      <w:r>
        <w:rPr>
          <w:rFonts w:hint="eastAsia" w:ascii="Times New Roman" w:hAnsi="Times New Roman" w:eastAsia="仿宋_GB2312" w:cs="Times New Roman"/>
          <w:color w:val="auto"/>
          <w:spacing w:val="6"/>
          <w:kern w:val="32"/>
          <w:sz w:val="32"/>
          <w:szCs w:val="32"/>
          <w:highlight w:val="none"/>
        </w:rPr>
        <w:t>年</w:t>
      </w:r>
      <w:r>
        <w:rPr>
          <w:rFonts w:hint="eastAsia" w:eastAsia="仿宋_GB2312" w:cs="Times New Roman"/>
          <w:color w:val="auto"/>
          <w:spacing w:val="6"/>
          <w:kern w:val="32"/>
          <w:sz w:val="32"/>
          <w:szCs w:val="32"/>
          <w:highlight w:val="none"/>
          <w:lang w:val="en-US" w:eastAsia="zh-CN"/>
        </w:rPr>
        <w:t>9</w:t>
      </w:r>
      <w:r>
        <w:rPr>
          <w:rFonts w:hint="eastAsia" w:ascii="Times New Roman" w:hAnsi="Times New Roman" w:eastAsia="仿宋_GB2312" w:cs="Times New Roman"/>
          <w:color w:val="auto"/>
          <w:spacing w:val="6"/>
          <w:kern w:val="32"/>
          <w:sz w:val="32"/>
          <w:szCs w:val="32"/>
          <w:highlight w:val="none"/>
        </w:rPr>
        <w:t>月</w:t>
      </w:r>
      <w:r>
        <w:rPr>
          <w:rFonts w:hint="eastAsia" w:ascii="Times New Roman" w:hAnsi="Times New Roman" w:eastAsia="仿宋_GB2312" w:cs="Times New Roman"/>
          <w:color w:val="auto"/>
          <w:spacing w:val="6"/>
          <w:kern w:val="32"/>
          <w:sz w:val="32"/>
          <w:szCs w:val="32"/>
          <w:highlight w:val="none"/>
          <w:lang w:val="en-US" w:eastAsia="zh-CN"/>
        </w:rPr>
        <w:t>3</w:t>
      </w:r>
      <w:r>
        <w:rPr>
          <w:rFonts w:hint="eastAsia" w:eastAsia="仿宋_GB2312" w:cs="Times New Roman"/>
          <w:color w:val="auto"/>
          <w:spacing w:val="6"/>
          <w:kern w:val="32"/>
          <w:sz w:val="32"/>
          <w:szCs w:val="32"/>
          <w:highlight w:val="none"/>
          <w:lang w:val="en-US" w:eastAsia="zh-CN"/>
        </w:rPr>
        <w:t>0</w:t>
      </w:r>
      <w:r>
        <w:rPr>
          <w:rFonts w:hint="eastAsia" w:ascii="Times New Roman" w:hAnsi="Times New Roman" w:eastAsia="仿宋_GB2312" w:cs="Times New Roman"/>
          <w:color w:val="auto"/>
          <w:spacing w:val="6"/>
          <w:kern w:val="32"/>
          <w:sz w:val="32"/>
          <w:szCs w:val="32"/>
          <w:highlight w:val="none"/>
        </w:rPr>
        <w:t>日</w:t>
      </w:r>
      <w:r>
        <w:rPr>
          <w:rFonts w:hint="eastAsia" w:ascii="Times New Roman" w:hAnsi="Times New Roman" w:eastAsia="仿宋_GB2312" w:cs="Times New Roman"/>
          <w:color w:val="auto"/>
          <w:spacing w:val="6"/>
          <w:kern w:val="32"/>
          <w:sz w:val="32"/>
          <w:szCs w:val="32"/>
          <w:highlight w:val="none"/>
        </w:rPr>
        <w:t>期间新建的生物、化学药物制剂合同生产和合同开发生产服务平台（CMO/CDMO）项目。</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（三）申报材料：</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1.资金申报表（附件2）；</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2.项目资金申请承诺书（附件3）；</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3.工商营业执照复印件；</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4.上年度经会计师事务所审计的财务报表复印件（资金申报年度新注册企业不提供）及最近一月的财务报表；</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5.专项资金申请报告（参照附件4）；</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6.项目立项文件或有关投资协议；</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7.平台厂房、设备租赁合同及平台场地的房产证及土地证</w:t>
      </w:r>
      <w:r>
        <w:rPr>
          <w:rFonts w:hint="eastAsia" w:ascii="仿宋_GB2312" w:hAnsi="仿宋_GB2312" w:eastAsia="仿宋_GB2312" w:cs="仿宋_GB2312"/>
          <w:color w:val="auto"/>
          <w:sz w:val="32"/>
          <w:szCs w:val="32"/>
          <w:highlight w:val="none"/>
          <w:lang w:eastAsia="zh-CN"/>
        </w:rPr>
        <w:t>或不动产权证</w:t>
      </w:r>
      <w:r>
        <w:rPr>
          <w:rFonts w:hint="eastAsia" w:ascii="仿宋_GB2312" w:hAnsi="仿宋_GB2312" w:eastAsia="仿宋_GB2312" w:cs="仿宋_GB2312"/>
          <w:color w:val="auto"/>
          <w:sz w:val="32"/>
          <w:szCs w:val="32"/>
          <w:highlight w:val="none"/>
        </w:rPr>
        <w:t>。（提交复印件，注明与原件相符，并加盖公章）；</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8.租金支付凭证（发票及对应的银行支付凭证）及发票汇总表、支付凭证汇总表（附件5）；</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9.提供</w:t>
      </w:r>
      <w:r>
        <w:rPr>
          <w:rFonts w:hint="eastAsia" w:ascii="仿宋_GB2312" w:hAnsi="仿宋_GB2312" w:eastAsia="仿宋_GB2312" w:cs="仿宋_GB2312"/>
          <w:color w:val="auto"/>
          <w:sz w:val="32"/>
          <w:szCs w:val="32"/>
          <w:highlight w:val="none"/>
          <w:lang w:eastAsia="zh-CN"/>
        </w:rPr>
        <w:t>租赁</w:t>
      </w:r>
      <w:r>
        <w:rPr>
          <w:rFonts w:hint="eastAsia" w:ascii="仿宋_GB2312" w:hAnsi="仿宋_GB2312" w:eastAsia="仿宋_GB2312" w:cs="仿宋_GB2312"/>
          <w:color w:val="auto"/>
          <w:sz w:val="32"/>
          <w:szCs w:val="32"/>
          <w:highlight w:val="none"/>
        </w:rPr>
        <w:t>仪器设备清单</w:t>
      </w:r>
      <w:r>
        <w:rPr>
          <w:rFonts w:hint="eastAsia" w:ascii="仿宋_GB2312" w:hAnsi="仿宋_GB2312" w:eastAsia="仿宋_GB2312" w:cs="仿宋_GB2312"/>
          <w:color w:val="auto"/>
          <w:sz w:val="32"/>
          <w:szCs w:val="32"/>
          <w:highlight w:val="none"/>
          <w:lang w:eastAsia="zh-CN"/>
        </w:rPr>
        <w:t>及</w:t>
      </w:r>
      <w:r>
        <w:rPr>
          <w:rFonts w:hint="eastAsia" w:ascii="仿宋_GB2312" w:hAnsi="仿宋_GB2312" w:eastAsia="仿宋_GB2312" w:cs="仿宋_GB2312"/>
          <w:color w:val="auto"/>
          <w:sz w:val="32"/>
          <w:szCs w:val="32"/>
          <w:highlight w:val="none"/>
        </w:rPr>
        <w:t>代表性设备（含铭牌）照片。（申请仪器设备租赁补贴需提供）</w:t>
      </w:r>
    </w:p>
    <w:p>
      <w:pPr>
        <w:numPr>
          <w:ilvl w:val="0"/>
          <w:numId w:val="0"/>
        </w:numPr>
        <w:spacing w:line="360" w:lineRule="auto"/>
        <w:ind w:firstLine="640" w:firstLineChars="200"/>
        <w:rPr>
          <w:rFonts w:hint="eastAsia" w:ascii="黑体" w:hAnsi="黑体" w:eastAsia="黑体" w:cs="黑体"/>
          <w:color w:val="auto"/>
          <w:sz w:val="32"/>
          <w:szCs w:val="32"/>
          <w:highlight w:val="none"/>
          <w:lang w:eastAsia="zh-CN"/>
        </w:rPr>
      </w:pPr>
    </w:p>
    <w:p>
      <w:pPr>
        <w:numPr>
          <w:ilvl w:val="0"/>
          <w:numId w:val="0"/>
        </w:numPr>
        <w:spacing w:line="360" w:lineRule="auto"/>
        <w:ind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七、</w:t>
      </w:r>
      <w:r>
        <w:rPr>
          <w:rFonts w:hint="eastAsia" w:ascii="黑体" w:hAnsi="黑体" w:eastAsia="黑体" w:cs="黑体"/>
          <w:color w:val="auto"/>
          <w:sz w:val="32"/>
          <w:szCs w:val="32"/>
          <w:highlight w:val="none"/>
        </w:rPr>
        <w:t>项目研发</w:t>
      </w:r>
      <w:r>
        <w:rPr>
          <w:rFonts w:hint="eastAsia" w:ascii="黑体" w:hAnsi="黑体" w:eastAsia="黑体" w:cs="黑体"/>
          <w:color w:val="auto"/>
          <w:sz w:val="32"/>
          <w:szCs w:val="32"/>
          <w:highlight w:val="none"/>
          <w:lang w:eastAsia="zh-CN"/>
        </w:rPr>
        <w:t>与</w:t>
      </w:r>
      <w:r>
        <w:rPr>
          <w:rFonts w:hint="eastAsia" w:ascii="黑体" w:hAnsi="黑体" w:eastAsia="黑体" w:cs="黑体"/>
          <w:color w:val="auto"/>
          <w:sz w:val="32"/>
          <w:szCs w:val="32"/>
          <w:highlight w:val="none"/>
        </w:rPr>
        <w:t>产业化专题</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（一）扶持对象及标准：</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药品临床批件</w:t>
      </w:r>
      <w:r>
        <w:rPr>
          <w:rFonts w:hint="eastAsia" w:ascii="仿宋_GB2312" w:hAnsi="仿宋_GB2312" w:eastAsia="仿宋_GB2312" w:cs="仿宋_GB2312"/>
          <w:color w:val="auto"/>
          <w:sz w:val="32"/>
          <w:szCs w:val="32"/>
          <w:highlight w:val="none"/>
          <w:lang w:eastAsia="zh-CN"/>
        </w:rPr>
        <w:t>（备案）、</w:t>
      </w:r>
      <w:r>
        <w:rPr>
          <w:rFonts w:hint="eastAsia" w:ascii="仿宋_GB2312" w:hAnsi="仿宋_GB2312" w:eastAsia="仿宋_GB2312" w:cs="仿宋_GB2312"/>
          <w:color w:val="auto"/>
          <w:sz w:val="32"/>
          <w:szCs w:val="32"/>
          <w:highlight w:val="none"/>
        </w:rPr>
        <w:t>新药证书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仿制药一致性评价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医疗器械注册证</w:t>
      </w:r>
      <w:r>
        <w:rPr>
          <w:rFonts w:hint="eastAsia" w:ascii="仿宋_GB2312" w:hAnsi="仿宋_GB2312" w:eastAsia="仿宋_GB2312" w:cs="仿宋_GB2312"/>
          <w:color w:val="auto"/>
          <w:sz w:val="32"/>
          <w:szCs w:val="32"/>
          <w:highlight w:val="none"/>
          <w:lang w:eastAsia="zh-CN"/>
        </w:rPr>
        <w:t>及</w:t>
      </w:r>
      <w:r>
        <w:rPr>
          <w:rFonts w:hint="eastAsia" w:ascii="仿宋_GB2312" w:hAnsi="仿宋_GB2312" w:eastAsia="仿宋_GB2312" w:cs="仿宋_GB2312"/>
          <w:color w:val="auto"/>
          <w:sz w:val="32"/>
          <w:szCs w:val="32"/>
          <w:highlight w:val="none"/>
        </w:rPr>
        <w:t>诊断试剂注册证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特殊医学用途配方食品批件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保健食品</w:t>
      </w:r>
      <w:r>
        <w:rPr>
          <w:rFonts w:hint="eastAsia" w:ascii="仿宋_GB2312" w:hAnsi="仿宋_GB2312" w:eastAsia="仿宋_GB2312" w:cs="仿宋_GB2312"/>
          <w:color w:val="auto"/>
          <w:sz w:val="32"/>
          <w:szCs w:val="32"/>
          <w:highlight w:val="none"/>
          <w:lang w:eastAsia="zh-CN"/>
        </w:rPr>
        <w:t>及</w:t>
      </w:r>
      <w:r>
        <w:rPr>
          <w:rFonts w:hint="eastAsia" w:ascii="仿宋_GB2312" w:hAnsi="仿宋_GB2312" w:eastAsia="仿宋_GB2312" w:cs="仿宋_GB2312"/>
          <w:color w:val="auto"/>
          <w:sz w:val="32"/>
          <w:szCs w:val="32"/>
          <w:highlight w:val="none"/>
        </w:rPr>
        <w:t>特殊化妆品注册批件持有人</w:t>
      </w:r>
      <w:r>
        <w:rPr>
          <w:rFonts w:hint="eastAsia" w:ascii="仿宋_GB2312" w:hAnsi="仿宋_GB2312" w:eastAsia="仿宋_GB2312" w:cs="仿宋_GB2312"/>
          <w:color w:val="auto"/>
          <w:sz w:val="32"/>
          <w:szCs w:val="32"/>
          <w:highlight w:val="none"/>
          <w:lang w:eastAsia="zh-CN"/>
        </w:rPr>
        <w:t>需是</w:t>
      </w:r>
      <w:r>
        <w:rPr>
          <w:rFonts w:hint="default" w:ascii="Times New Roman" w:hAnsi="Times New Roman" w:eastAsia="仿宋_GB2312" w:cs="Times New Roman"/>
          <w:color w:val="auto"/>
          <w:spacing w:val="6"/>
          <w:kern w:val="32"/>
          <w:sz w:val="32"/>
          <w:szCs w:val="32"/>
          <w:highlight w:val="none"/>
        </w:rPr>
        <w:t>在我区工商注册和税务登记的</w:t>
      </w:r>
      <w:r>
        <w:rPr>
          <w:rFonts w:hint="eastAsia" w:ascii="Times New Roman" w:hAnsi="Times New Roman" w:eastAsia="仿宋_GB2312" w:cs="Times New Roman"/>
          <w:color w:val="auto"/>
          <w:spacing w:val="6"/>
          <w:kern w:val="32"/>
          <w:sz w:val="32"/>
          <w:szCs w:val="32"/>
          <w:highlight w:val="none"/>
          <w:lang w:eastAsia="zh-CN"/>
        </w:rPr>
        <w:t>独立法人</w:t>
      </w:r>
      <w:r>
        <w:rPr>
          <w:rFonts w:hint="eastAsia" w:eastAsia="仿宋_GB2312" w:cs="Times New Roman"/>
          <w:color w:val="auto"/>
          <w:spacing w:val="6"/>
          <w:kern w:val="32"/>
          <w:sz w:val="32"/>
          <w:szCs w:val="32"/>
          <w:highlight w:val="none"/>
          <w:lang w:eastAsia="zh-CN"/>
        </w:rPr>
        <w:t>。</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按照中国药品注册分类，完成临床前研究获得1、2类中药、化学药、生物制品（按药品管理的诊断试剂除外）新药临床批件（备案）且通过一期临床试验伦理会，正式开展临床试验的，按照临床前研究实际研发投入的50%给予补贴，1、2类新药每项资助分别最高不超过800万元、400万元。每个品种只资助一次临床前研究补贴。</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2类中药、化学药、生物制品（按药品管理的诊断试剂除外）新药进入Ⅱ期临床试验，通过伦理会且正式开展Ⅱ期临床试验的，按照Ⅰ期临床试验实际研发投入的50%给予补贴，1、2类新药每项资助分别最高不超过400万元、200万元。</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2类中药、化学药、生物制品（按药品管理的诊断试剂除外）新药进入Ⅲ期临床试验，通过伦理会且正式开展Ⅲ期临床试验的，按照Ⅱ期临床试验实际研发投入的50%给予补贴，1、2类新药每项资助分别最高不超过300万元、150万元。</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我区企业通过购买或转移方式获得1、2类新药临床批件（备案）成果并开展Ⅰ期、Ⅱ期或Ⅲ期临床试验的项目，无需提供实际研发投入证明，1、2类新药分别直接给予800万、400万资助。</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药品上市许可持有人获得新药证书并在我区实现产业化的，1类新药给予500万元扶持，2类新药给予300万元扶持。对获得化学药3、4类、中药3类、生物制品3类注册批文的药品在我区实现产业化的，每个品种奖励200万元。</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对按照国家规定通过仿制药一致性评价在我区生产的药品（不同规格视为一个品种），给予一致性评价实施过程中发生总费用50%的一次性资助，每个品种资助最高不超过100万元；对全国前三通过仿制药一致性评价的药品，每个品种资助最高不超过200万元。</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按照中国医疗器械注册分类，对首次获得三类医疗器械注册证（不含诊断试剂）的产品，给予每项最高不超过200万元支持；首次获得三类诊断试剂注册证的产品，给予每项最高不超过50万元支持。每个项目资助金额不超过单一项目实际研发投入的50%。</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对于首次获得国家药品监督管理局颁发的特殊医学用途配方食品批件的，每个品种给予最高不超过40万元资助；首次获得保健食品、特殊化妆品注册批件的，每个品种给予最高不超过15万元资助。每个项目资助金额不超过单一项目实际研发投入的50%。单一企业年度资助金额不超过300万元。</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（二）扶持时间</w:t>
      </w:r>
    </w:p>
    <w:p>
      <w:pPr>
        <w:adjustRightInd w:val="0"/>
        <w:snapToGrid w:val="0"/>
        <w:spacing w:line="360" w:lineRule="auto"/>
        <w:ind w:firstLine="640" w:firstLineChars="200"/>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日-202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30</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eastAsia="zh-CN"/>
        </w:rPr>
        <w:t>期间</w:t>
      </w:r>
      <w:r>
        <w:rPr>
          <w:rFonts w:hint="eastAsia" w:ascii="仿宋_GB2312" w:hAnsi="仿宋_GB2312" w:eastAsia="仿宋_GB2312" w:cs="仿宋_GB2312"/>
          <w:color w:val="auto"/>
          <w:sz w:val="32"/>
          <w:szCs w:val="32"/>
          <w:highlight w:val="none"/>
        </w:rPr>
        <w:t>获得的临床批件</w:t>
      </w:r>
      <w:r>
        <w:rPr>
          <w:rFonts w:hint="eastAsia" w:ascii="仿宋_GB2312" w:hAnsi="仿宋_GB2312" w:eastAsia="仿宋_GB2312" w:cs="仿宋_GB2312"/>
          <w:color w:val="auto"/>
          <w:sz w:val="32"/>
          <w:szCs w:val="32"/>
          <w:highlight w:val="none"/>
          <w:lang w:eastAsia="zh-CN"/>
        </w:rPr>
        <w:t>（备案）</w:t>
      </w:r>
      <w:r>
        <w:rPr>
          <w:rFonts w:hint="eastAsia" w:ascii="仿宋_GB2312" w:hAnsi="仿宋_GB2312" w:eastAsia="仿宋_GB2312" w:cs="仿宋_GB2312"/>
          <w:color w:val="auto"/>
          <w:sz w:val="32"/>
          <w:szCs w:val="32"/>
          <w:highlight w:val="none"/>
        </w:rPr>
        <w:t>并正式开展临床试验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以获得国家药监部门的新药临床批件或医院伦理委员会批件时间为认定依据</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新药证书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通过仿制药一致性评价</w:t>
      </w:r>
      <w:r>
        <w:rPr>
          <w:rFonts w:hint="eastAsia" w:ascii="仿宋_GB2312" w:hAnsi="仿宋_GB2312" w:eastAsia="仿宋_GB2312" w:cs="仿宋_GB2312"/>
          <w:color w:val="auto"/>
          <w:sz w:val="32"/>
          <w:szCs w:val="32"/>
          <w:highlight w:val="none"/>
          <w:lang w:eastAsia="zh-CN"/>
        </w:rPr>
        <w:t>、首次</w:t>
      </w:r>
      <w:r>
        <w:rPr>
          <w:rFonts w:hint="eastAsia" w:ascii="仿宋_GB2312" w:hAnsi="仿宋_GB2312" w:eastAsia="仿宋_GB2312" w:cs="仿宋_GB2312"/>
          <w:color w:val="auto"/>
          <w:sz w:val="32"/>
          <w:szCs w:val="32"/>
          <w:highlight w:val="none"/>
        </w:rPr>
        <w:t>获得三类医疗器械注册证</w:t>
      </w:r>
      <w:r>
        <w:rPr>
          <w:rFonts w:hint="eastAsia" w:ascii="仿宋_GB2312" w:hAnsi="仿宋_GB2312" w:eastAsia="仿宋_GB2312" w:cs="仿宋_GB2312"/>
          <w:color w:val="auto"/>
          <w:sz w:val="32"/>
          <w:szCs w:val="32"/>
          <w:highlight w:val="none"/>
          <w:lang w:eastAsia="zh-CN"/>
        </w:rPr>
        <w:t>及</w:t>
      </w:r>
      <w:r>
        <w:rPr>
          <w:rFonts w:hint="eastAsia" w:ascii="仿宋_GB2312" w:hAnsi="仿宋_GB2312" w:eastAsia="仿宋_GB2312" w:cs="仿宋_GB2312"/>
          <w:color w:val="auto"/>
          <w:sz w:val="32"/>
          <w:szCs w:val="32"/>
          <w:highlight w:val="none"/>
        </w:rPr>
        <w:t>诊断试剂注册证</w:t>
      </w:r>
      <w:r>
        <w:rPr>
          <w:rFonts w:hint="eastAsia" w:ascii="仿宋_GB2312" w:hAnsi="仿宋_GB2312" w:eastAsia="仿宋_GB2312" w:cs="仿宋_GB2312"/>
          <w:color w:val="auto"/>
          <w:sz w:val="32"/>
          <w:szCs w:val="32"/>
          <w:highlight w:val="none"/>
          <w:lang w:eastAsia="zh-CN"/>
        </w:rPr>
        <w:t>、首次获得</w:t>
      </w:r>
      <w:r>
        <w:rPr>
          <w:rFonts w:hint="eastAsia" w:ascii="仿宋_GB2312" w:hAnsi="仿宋_GB2312" w:eastAsia="仿宋_GB2312" w:cs="仿宋_GB2312"/>
          <w:color w:val="auto"/>
          <w:sz w:val="32"/>
          <w:szCs w:val="32"/>
          <w:highlight w:val="none"/>
        </w:rPr>
        <w:t>特殊医学用途配方食品批件</w:t>
      </w:r>
      <w:r>
        <w:rPr>
          <w:rFonts w:hint="eastAsia" w:ascii="仿宋_GB2312" w:hAnsi="仿宋_GB2312" w:eastAsia="仿宋_GB2312" w:cs="仿宋_GB2312"/>
          <w:color w:val="auto"/>
          <w:sz w:val="32"/>
          <w:szCs w:val="32"/>
          <w:highlight w:val="none"/>
          <w:lang w:eastAsia="zh-CN"/>
        </w:rPr>
        <w:t>、首次获得</w:t>
      </w:r>
      <w:r>
        <w:rPr>
          <w:rFonts w:hint="eastAsia" w:ascii="仿宋_GB2312" w:hAnsi="仿宋_GB2312" w:eastAsia="仿宋_GB2312" w:cs="仿宋_GB2312"/>
          <w:color w:val="auto"/>
          <w:sz w:val="32"/>
          <w:szCs w:val="32"/>
          <w:highlight w:val="none"/>
        </w:rPr>
        <w:t>保健食品</w:t>
      </w:r>
      <w:r>
        <w:rPr>
          <w:rFonts w:hint="eastAsia" w:ascii="仿宋_GB2312" w:hAnsi="仿宋_GB2312" w:eastAsia="仿宋_GB2312" w:cs="仿宋_GB2312"/>
          <w:color w:val="auto"/>
          <w:sz w:val="32"/>
          <w:szCs w:val="32"/>
          <w:highlight w:val="none"/>
          <w:lang w:eastAsia="zh-CN"/>
        </w:rPr>
        <w:t>及</w:t>
      </w:r>
      <w:r>
        <w:rPr>
          <w:rFonts w:hint="eastAsia" w:ascii="仿宋_GB2312" w:hAnsi="仿宋_GB2312" w:eastAsia="仿宋_GB2312" w:cs="仿宋_GB2312"/>
          <w:color w:val="auto"/>
          <w:sz w:val="32"/>
          <w:szCs w:val="32"/>
          <w:highlight w:val="none"/>
        </w:rPr>
        <w:t>特殊化妆品注册批件</w:t>
      </w:r>
      <w:r>
        <w:rPr>
          <w:rFonts w:hint="eastAsia" w:ascii="仿宋_GB2312" w:hAnsi="仿宋_GB2312" w:eastAsia="仿宋_GB2312" w:cs="仿宋_GB2312"/>
          <w:b/>
          <w:bCs/>
          <w:color w:val="auto"/>
          <w:sz w:val="32"/>
          <w:szCs w:val="32"/>
          <w:highlight w:val="none"/>
          <w:lang w:eastAsia="zh-CN"/>
        </w:rPr>
        <w:t>。</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（三）申报材料</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1.资金申报表（附件2）；</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2.项目资金申请承诺书（附件3）；</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3.工商营业执照复印件；</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4.上年度经会计师事务所审计的财务报表复印件（资金申报年度新注册企业不提供）及最近一月的财务报表；</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5.专项资金申请报告（参照附件4）；</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6.临床试验批件</w:t>
      </w:r>
      <w:r>
        <w:rPr>
          <w:rFonts w:hint="eastAsia" w:ascii="仿宋_GB2312" w:hAnsi="仿宋_GB2312" w:eastAsia="仿宋_GB2312" w:cs="仿宋_GB2312"/>
          <w:color w:val="auto"/>
          <w:sz w:val="32"/>
          <w:szCs w:val="32"/>
          <w:highlight w:val="none"/>
          <w:lang w:eastAsia="zh-CN"/>
        </w:rPr>
        <w:t>（备案）</w:t>
      </w:r>
      <w:r>
        <w:rPr>
          <w:rFonts w:hint="eastAsia" w:ascii="仿宋_GB2312" w:hAnsi="仿宋_GB2312" w:eastAsia="仿宋_GB2312" w:cs="仿宋_GB2312"/>
          <w:color w:val="auto"/>
          <w:sz w:val="32"/>
          <w:szCs w:val="32"/>
          <w:highlight w:val="none"/>
        </w:rPr>
        <w:t>复印件及正式开展临床试验的证明文件（申请临床批件补助需提供）；</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w:t>
      </w:r>
      <w:r>
        <w:rPr>
          <w:rFonts w:hint="eastAsia" w:ascii="仿宋_GB2312" w:hAnsi="仿宋_GB2312" w:eastAsia="仿宋_GB2312" w:cs="仿宋_GB2312"/>
          <w:color w:val="auto"/>
          <w:sz w:val="32"/>
          <w:szCs w:val="32"/>
          <w:highlight w:val="none"/>
          <w:lang w:eastAsia="zh-CN"/>
        </w:rPr>
        <w:t>获得</w:t>
      </w:r>
      <w:r>
        <w:rPr>
          <w:rFonts w:hint="eastAsia" w:ascii="仿宋_GB2312" w:hAnsi="仿宋_GB2312" w:eastAsia="仿宋_GB2312" w:cs="仿宋_GB2312"/>
          <w:color w:val="auto"/>
          <w:sz w:val="32"/>
          <w:szCs w:val="32"/>
          <w:highlight w:val="none"/>
        </w:rPr>
        <w:t>新药证书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通过仿制药一致性评价</w:t>
      </w:r>
      <w:r>
        <w:rPr>
          <w:rFonts w:hint="eastAsia" w:ascii="仿宋_GB2312" w:hAnsi="仿宋_GB2312" w:eastAsia="仿宋_GB2312" w:cs="仿宋_GB2312"/>
          <w:color w:val="auto"/>
          <w:sz w:val="32"/>
          <w:szCs w:val="32"/>
          <w:highlight w:val="none"/>
          <w:lang w:eastAsia="zh-CN"/>
        </w:rPr>
        <w:t>、首次</w:t>
      </w:r>
      <w:r>
        <w:rPr>
          <w:rFonts w:hint="eastAsia" w:ascii="仿宋_GB2312" w:hAnsi="仿宋_GB2312" w:eastAsia="仿宋_GB2312" w:cs="仿宋_GB2312"/>
          <w:color w:val="auto"/>
          <w:sz w:val="32"/>
          <w:szCs w:val="32"/>
          <w:highlight w:val="none"/>
        </w:rPr>
        <w:t>获得三类医疗器械注册证</w:t>
      </w:r>
      <w:r>
        <w:rPr>
          <w:rFonts w:hint="eastAsia" w:ascii="仿宋_GB2312" w:hAnsi="仿宋_GB2312" w:eastAsia="仿宋_GB2312" w:cs="仿宋_GB2312"/>
          <w:color w:val="auto"/>
          <w:sz w:val="32"/>
          <w:szCs w:val="32"/>
          <w:highlight w:val="none"/>
          <w:lang w:eastAsia="zh-CN"/>
        </w:rPr>
        <w:t>及</w:t>
      </w:r>
      <w:r>
        <w:rPr>
          <w:rFonts w:hint="eastAsia" w:ascii="仿宋_GB2312" w:hAnsi="仿宋_GB2312" w:eastAsia="仿宋_GB2312" w:cs="仿宋_GB2312"/>
          <w:color w:val="auto"/>
          <w:sz w:val="32"/>
          <w:szCs w:val="32"/>
          <w:highlight w:val="none"/>
        </w:rPr>
        <w:t>诊断试剂注册证</w:t>
      </w:r>
      <w:r>
        <w:rPr>
          <w:rFonts w:hint="eastAsia" w:ascii="仿宋_GB2312" w:hAnsi="仿宋_GB2312" w:eastAsia="仿宋_GB2312" w:cs="仿宋_GB2312"/>
          <w:color w:val="auto"/>
          <w:sz w:val="32"/>
          <w:szCs w:val="32"/>
          <w:highlight w:val="none"/>
          <w:lang w:eastAsia="zh-CN"/>
        </w:rPr>
        <w:t>、首次获得</w:t>
      </w:r>
      <w:r>
        <w:rPr>
          <w:rFonts w:hint="eastAsia" w:ascii="仿宋_GB2312" w:hAnsi="仿宋_GB2312" w:eastAsia="仿宋_GB2312" w:cs="仿宋_GB2312"/>
          <w:color w:val="auto"/>
          <w:sz w:val="32"/>
          <w:szCs w:val="32"/>
          <w:highlight w:val="none"/>
        </w:rPr>
        <w:t>特殊医学用途配方食品批件</w:t>
      </w:r>
      <w:r>
        <w:rPr>
          <w:rFonts w:hint="eastAsia" w:ascii="仿宋_GB2312" w:hAnsi="仿宋_GB2312" w:eastAsia="仿宋_GB2312" w:cs="仿宋_GB2312"/>
          <w:color w:val="auto"/>
          <w:sz w:val="32"/>
          <w:szCs w:val="32"/>
          <w:highlight w:val="none"/>
          <w:lang w:eastAsia="zh-CN"/>
        </w:rPr>
        <w:t>、首次获得</w:t>
      </w:r>
      <w:r>
        <w:rPr>
          <w:rFonts w:hint="eastAsia" w:ascii="仿宋_GB2312" w:hAnsi="仿宋_GB2312" w:eastAsia="仿宋_GB2312" w:cs="仿宋_GB2312"/>
          <w:color w:val="auto"/>
          <w:sz w:val="32"/>
          <w:szCs w:val="32"/>
          <w:highlight w:val="none"/>
        </w:rPr>
        <w:t>保健食品</w:t>
      </w:r>
      <w:r>
        <w:rPr>
          <w:rFonts w:hint="eastAsia" w:ascii="仿宋_GB2312" w:hAnsi="仿宋_GB2312" w:eastAsia="仿宋_GB2312" w:cs="仿宋_GB2312"/>
          <w:color w:val="auto"/>
          <w:sz w:val="32"/>
          <w:szCs w:val="32"/>
          <w:highlight w:val="none"/>
          <w:lang w:eastAsia="zh-CN"/>
        </w:rPr>
        <w:t>及</w:t>
      </w:r>
      <w:r>
        <w:rPr>
          <w:rFonts w:hint="eastAsia" w:ascii="仿宋_GB2312" w:hAnsi="仿宋_GB2312" w:eastAsia="仿宋_GB2312" w:cs="仿宋_GB2312"/>
          <w:color w:val="auto"/>
          <w:sz w:val="32"/>
          <w:szCs w:val="32"/>
          <w:highlight w:val="none"/>
        </w:rPr>
        <w:t>特殊化妆品注册批件及在开发区实现产业化的证明材料（申请</w:t>
      </w:r>
      <w:r>
        <w:rPr>
          <w:rFonts w:hint="eastAsia" w:ascii="仿宋_GB2312" w:hAnsi="仿宋_GB2312" w:eastAsia="仿宋_GB2312" w:cs="仿宋_GB2312"/>
          <w:color w:val="auto"/>
          <w:sz w:val="32"/>
          <w:szCs w:val="32"/>
          <w:highlight w:val="none"/>
          <w:lang w:eastAsia="zh-CN"/>
        </w:rPr>
        <w:t>相关</w:t>
      </w:r>
      <w:r>
        <w:rPr>
          <w:rFonts w:hint="eastAsia" w:ascii="仿宋_GB2312" w:hAnsi="仿宋_GB2312" w:eastAsia="仿宋_GB2312" w:cs="仿宋_GB2312"/>
          <w:color w:val="auto"/>
          <w:sz w:val="32"/>
          <w:szCs w:val="32"/>
          <w:highlight w:val="none"/>
        </w:rPr>
        <w:t>批件补助需提供）；</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8.</w:t>
      </w:r>
      <w:r>
        <w:rPr>
          <w:rFonts w:hint="eastAsia" w:ascii="仿宋_GB2312" w:hAnsi="仿宋_GB2312" w:eastAsia="仿宋_GB2312" w:cs="仿宋_GB2312"/>
          <w:color w:val="auto"/>
          <w:sz w:val="32"/>
          <w:szCs w:val="32"/>
          <w:highlight w:val="none"/>
          <w:lang w:eastAsia="zh-CN"/>
        </w:rPr>
        <w:t>新药</w:t>
      </w:r>
      <w:r>
        <w:rPr>
          <w:rFonts w:hint="eastAsia" w:ascii="仿宋_GB2312" w:hAnsi="仿宋_GB2312" w:eastAsia="仿宋_GB2312" w:cs="仿宋_GB2312"/>
          <w:color w:val="auto"/>
          <w:sz w:val="32"/>
          <w:szCs w:val="32"/>
          <w:highlight w:val="none"/>
        </w:rPr>
        <w:t>临床前</w:t>
      </w:r>
      <w:r>
        <w:rPr>
          <w:rFonts w:hint="eastAsia" w:ascii="仿宋_GB2312" w:hAnsi="仿宋_GB2312" w:eastAsia="仿宋_GB2312" w:cs="仿宋_GB2312"/>
          <w:color w:val="auto"/>
          <w:sz w:val="32"/>
          <w:szCs w:val="32"/>
          <w:highlight w:val="none"/>
          <w:lang w:eastAsia="zh-CN"/>
        </w:rPr>
        <w:t>及临床试验、</w:t>
      </w:r>
      <w:r>
        <w:rPr>
          <w:rFonts w:hint="eastAsia" w:ascii="仿宋_GB2312" w:hAnsi="仿宋_GB2312" w:eastAsia="仿宋_GB2312" w:cs="仿宋_GB2312"/>
          <w:color w:val="auto"/>
          <w:sz w:val="32"/>
          <w:szCs w:val="32"/>
          <w:highlight w:val="none"/>
        </w:rPr>
        <w:t>增加适应症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一致性评价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三类医疗器械注册证</w:t>
      </w:r>
      <w:r>
        <w:rPr>
          <w:rFonts w:hint="eastAsia" w:ascii="仿宋_GB2312" w:hAnsi="仿宋_GB2312" w:eastAsia="仿宋_GB2312" w:cs="仿宋_GB2312"/>
          <w:color w:val="auto"/>
          <w:sz w:val="32"/>
          <w:szCs w:val="32"/>
          <w:highlight w:val="none"/>
          <w:lang w:eastAsia="zh-CN"/>
        </w:rPr>
        <w:t>及</w:t>
      </w:r>
      <w:r>
        <w:rPr>
          <w:rFonts w:hint="eastAsia" w:ascii="仿宋_GB2312" w:hAnsi="仿宋_GB2312" w:eastAsia="仿宋_GB2312" w:cs="仿宋_GB2312"/>
          <w:color w:val="auto"/>
          <w:sz w:val="32"/>
          <w:szCs w:val="32"/>
          <w:highlight w:val="none"/>
        </w:rPr>
        <w:t>诊断试剂注册证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特殊医学用途配方食品批件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保健食品</w:t>
      </w:r>
      <w:r>
        <w:rPr>
          <w:rFonts w:hint="eastAsia" w:ascii="仿宋_GB2312" w:hAnsi="仿宋_GB2312" w:eastAsia="仿宋_GB2312" w:cs="仿宋_GB2312"/>
          <w:color w:val="auto"/>
          <w:sz w:val="32"/>
          <w:szCs w:val="32"/>
          <w:highlight w:val="none"/>
          <w:lang w:eastAsia="zh-CN"/>
        </w:rPr>
        <w:t>及</w:t>
      </w:r>
      <w:r>
        <w:rPr>
          <w:rFonts w:hint="eastAsia" w:ascii="仿宋_GB2312" w:hAnsi="仿宋_GB2312" w:eastAsia="仿宋_GB2312" w:cs="仿宋_GB2312"/>
          <w:color w:val="auto"/>
          <w:sz w:val="32"/>
          <w:szCs w:val="32"/>
          <w:highlight w:val="none"/>
        </w:rPr>
        <w:t>特殊化妆品注册批件相关研发费用的专项审计报告及</w:t>
      </w:r>
      <w:r>
        <w:rPr>
          <w:rFonts w:hint="eastAsia" w:ascii="仿宋_GB2312" w:hAnsi="仿宋_GB2312" w:eastAsia="仿宋_GB2312" w:cs="仿宋_GB2312"/>
          <w:color w:val="auto"/>
          <w:sz w:val="32"/>
          <w:szCs w:val="32"/>
          <w:highlight w:val="none"/>
          <w:lang w:eastAsia="zh-CN"/>
        </w:rPr>
        <w:t>相关</w:t>
      </w:r>
      <w:r>
        <w:rPr>
          <w:rFonts w:hint="eastAsia" w:ascii="仿宋_GB2312" w:hAnsi="仿宋_GB2312" w:eastAsia="仿宋_GB2312" w:cs="仿宋_GB2312"/>
          <w:color w:val="auto"/>
          <w:sz w:val="32"/>
          <w:szCs w:val="32"/>
          <w:highlight w:val="none"/>
        </w:rPr>
        <w:t>合同、部分大额发票发票、支付凭证等复印件（申请</w:t>
      </w:r>
      <w:r>
        <w:rPr>
          <w:rFonts w:hint="eastAsia" w:ascii="仿宋_GB2312" w:hAnsi="仿宋_GB2312" w:eastAsia="仿宋_GB2312" w:cs="仿宋_GB2312"/>
          <w:color w:val="auto"/>
          <w:sz w:val="32"/>
          <w:szCs w:val="32"/>
          <w:highlight w:val="none"/>
          <w:lang w:eastAsia="zh-CN"/>
        </w:rPr>
        <w:t>相关</w:t>
      </w:r>
      <w:r>
        <w:rPr>
          <w:rFonts w:hint="eastAsia" w:ascii="仿宋_GB2312" w:hAnsi="仿宋_GB2312" w:eastAsia="仿宋_GB2312" w:cs="仿宋_GB2312"/>
          <w:color w:val="auto"/>
          <w:sz w:val="32"/>
          <w:szCs w:val="32"/>
          <w:highlight w:val="none"/>
        </w:rPr>
        <w:t>批件补助需提供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发票汇总表、支付凭证汇总表，附件5）</w:t>
      </w:r>
      <w:r>
        <w:rPr>
          <w:rFonts w:hint="eastAsia" w:ascii="仿宋_GB2312" w:hAnsi="仿宋_GB2312" w:eastAsia="仿宋_GB2312" w:cs="仿宋_GB2312"/>
          <w:color w:val="auto"/>
          <w:sz w:val="32"/>
          <w:szCs w:val="32"/>
          <w:highlight w:val="none"/>
          <w:lang w:eastAsia="zh-CN"/>
        </w:rPr>
        <w:t>。</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lang w:eastAsia="zh-CN"/>
        </w:rPr>
      </w:pPr>
    </w:p>
    <w:p>
      <w:pPr>
        <w:pStyle w:val="3"/>
        <w:topLinePunct/>
        <w:spacing w:line="360" w:lineRule="auto"/>
        <w:ind w:left="0" w:firstLine="640" w:firstLineChars="200"/>
        <w:rPr>
          <w:rFonts w:hint="eastAsia" w:ascii="仿宋" w:hAnsi="仿宋" w:eastAsia="仿宋" w:cs="仿宋"/>
          <w:b/>
          <w:bCs/>
          <w:color w:val="auto"/>
          <w:highlight w:val="none"/>
        </w:rPr>
      </w:pPr>
      <w:r>
        <w:rPr>
          <w:rFonts w:hint="eastAsia" w:ascii="黑体" w:hAnsi="黑体" w:eastAsia="黑体" w:cs="黑体"/>
          <w:color w:val="auto"/>
          <w:highlight w:val="none"/>
          <w:lang w:eastAsia="zh-CN"/>
        </w:rPr>
        <w:t>八</w:t>
      </w:r>
      <w:r>
        <w:rPr>
          <w:rFonts w:hint="eastAsia" w:ascii="黑体" w:hAnsi="黑体" w:eastAsia="黑体" w:cs="黑体"/>
          <w:color w:val="auto"/>
          <w:highlight w:val="none"/>
        </w:rPr>
        <w:t>、资质认证专题</w:t>
      </w:r>
    </w:p>
    <w:p>
      <w:pPr>
        <w:pStyle w:val="12"/>
        <w:topLinePunct/>
        <w:spacing w:line="360" w:lineRule="auto"/>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（一）扶持对象及标准</w:t>
      </w:r>
    </w:p>
    <w:p>
      <w:pPr>
        <w:pStyle w:val="12"/>
        <w:topLinePunct/>
        <w:spacing w:line="360" w:lineRule="auto"/>
        <w:ind w:firstLine="664"/>
        <w:rPr>
          <w:rFonts w:hint="eastAsia" w:ascii="仿宋_GB2312" w:hAnsi="仿宋_GB2312" w:eastAsia="仿宋_GB2312" w:cs="仿宋_GB2312"/>
          <w:snapToGrid w:val="0"/>
          <w:color w:val="auto"/>
          <w:spacing w:val="6"/>
          <w:kern w:val="32"/>
          <w:sz w:val="32"/>
          <w:szCs w:val="32"/>
          <w:highlight w:val="none"/>
        </w:rPr>
      </w:pPr>
      <w:r>
        <w:rPr>
          <w:rFonts w:hint="eastAsia" w:ascii="仿宋_GB2312" w:hAnsi="仿宋_GB2312" w:eastAsia="仿宋_GB2312" w:cs="仿宋_GB2312"/>
          <w:snapToGrid w:val="0"/>
          <w:color w:val="auto"/>
          <w:spacing w:val="6"/>
          <w:kern w:val="32"/>
          <w:sz w:val="32"/>
          <w:szCs w:val="32"/>
          <w:highlight w:val="none"/>
        </w:rPr>
        <w:t>对首次获得药品生产许可证的企业给予一次性奖励50万元；对首次获得医疗器械（含诊断试剂）生产许可证、实验动物使用许可证、实验动物生产许可证的企业给予一次性奖励30万元；对首次获得国际实验动物评估和认可委员会认证（AAALAC认证）的企业给予一次性奖励100万元。</w:t>
      </w:r>
    </w:p>
    <w:p>
      <w:pPr>
        <w:pStyle w:val="3"/>
        <w:numPr>
          <w:ilvl w:val="0"/>
          <w:numId w:val="1"/>
        </w:numPr>
        <w:topLinePunct/>
        <w:spacing w:line="360" w:lineRule="auto"/>
        <w:ind w:left="-10" w:leftChars="0" w:firstLine="640" w:firstLineChars="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扶持时间</w:t>
      </w:r>
    </w:p>
    <w:p>
      <w:pPr>
        <w:pStyle w:val="3"/>
        <w:topLinePunct/>
        <w:spacing w:line="360" w:lineRule="auto"/>
        <w:ind w:left="0" w:firstLine="664" w:firstLineChars="200"/>
        <w:rPr>
          <w:rFonts w:hint="eastAsia" w:ascii="仿宋_GB2312" w:hAnsi="仿宋_GB2312" w:eastAsia="仿宋_GB2312" w:cs="仿宋_GB2312"/>
          <w:snapToGrid w:val="0"/>
          <w:color w:val="auto"/>
          <w:spacing w:val="6"/>
          <w:kern w:val="32"/>
          <w:sz w:val="32"/>
          <w:szCs w:val="32"/>
          <w:highlight w:val="none"/>
          <w:lang w:val="en-US" w:eastAsia="zh-CN" w:bidi="ar-SA"/>
        </w:rPr>
      </w:pPr>
      <w:r>
        <w:rPr>
          <w:rFonts w:hint="eastAsia" w:ascii="仿宋_GB2312" w:hAnsi="仿宋_GB2312" w:eastAsia="仿宋_GB2312" w:cs="仿宋_GB2312"/>
          <w:snapToGrid w:val="0"/>
          <w:color w:val="auto"/>
          <w:spacing w:val="6"/>
          <w:kern w:val="32"/>
          <w:sz w:val="32"/>
          <w:szCs w:val="32"/>
          <w:highlight w:val="none"/>
          <w:lang w:val="en-US" w:eastAsia="zh-CN" w:bidi="ar-SA"/>
        </w:rPr>
        <w:t>2021年1月1日-2021年9月30日期间首次获得相关资质认证并正常实施相应的认证管理规范。</w:t>
      </w:r>
    </w:p>
    <w:p>
      <w:pPr>
        <w:pStyle w:val="3"/>
        <w:topLinePunct/>
        <w:spacing w:line="360" w:lineRule="auto"/>
        <w:ind w:left="0" w:firstLine="640" w:firstLineChars="20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（三）申报材料</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1.资金申报表（附件2）；</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2.项目资金申请承诺书（附件3）；</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3.工商营业执照复印件；</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4.上年度经会计师事务所审计的财务报表复印件（资金申报年度新注册企业不提供）及最近一月的财务报表；</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5.专项资金申请报告（参照附件4）；</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6.获得</w:t>
      </w:r>
      <w:r>
        <w:rPr>
          <w:rFonts w:hint="eastAsia" w:ascii="仿宋_GB2312" w:hAnsi="仿宋_GB2312" w:eastAsia="仿宋_GB2312" w:cs="仿宋_GB2312"/>
          <w:snapToGrid w:val="0"/>
          <w:color w:val="auto"/>
          <w:spacing w:val="6"/>
          <w:kern w:val="32"/>
          <w:sz w:val="32"/>
          <w:szCs w:val="32"/>
          <w:highlight w:val="none"/>
        </w:rPr>
        <w:t>药品生产许可证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snapToGrid w:val="0"/>
          <w:color w:val="auto"/>
          <w:spacing w:val="6"/>
          <w:kern w:val="32"/>
          <w:sz w:val="32"/>
          <w:szCs w:val="32"/>
          <w:highlight w:val="none"/>
        </w:rPr>
        <w:t>医疗器械（含诊断试剂）生产许可证、实验动物使用许可证、实验动物生产许可证</w:t>
      </w:r>
      <w:r>
        <w:rPr>
          <w:rFonts w:hint="eastAsia" w:ascii="仿宋_GB2312" w:hAnsi="仿宋_GB2312" w:eastAsia="仿宋_GB2312" w:cs="仿宋_GB2312"/>
          <w:snapToGrid w:val="0"/>
          <w:color w:val="auto"/>
          <w:spacing w:val="6"/>
          <w:kern w:val="32"/>
          <w:sz w:val="32"/>
          <w:szCs w:val="32"/>
          <w:highlight w:val="none"/>
          <w:lang w:eastAsia="zh-CN"/>
        </w:rPr>
        <w:t>、</w:t>
      </w:r>
      <w:r>
        <w:rPr>
          <w:rFonts w:hint="eastAsia" w:ascii="仿宋_GB2312" w:hAnsi="仿宋_GB2312" w:eastAsia="仿宋_GB2312" w:cs="仿宋_GB2312"/>
          <w:snapToGrid w:val="0"/>
          <w:color w:val="auto"/>
          <w:spacing w:val="6"/>
          <w:kern w:val="32"/>
          <w:sz w:val="32"/>
          <w:szCs w:val="32"/>
          <w:highlight w:val="none"/>
        </w:rPr>
        <w:t>国际实验动物评估和认可委员会认证（AAALAC认证）</w:t>
      </w:r>
      <w:r>
        <w:rPr>
          <w:rFonts w:hint="eastAsia" w:ascii="仿宋_GB2312" w:hAnsi="仿宋_GB2312" w:eastAsia="仿宋_GB2312" w:cs="仿宋_GB2312"/>
          <w:color w:val="auto"/>
          <w:sz w:val="32"/>
          <w:szCs w:val="32"/>
          <w:highlight w:val="none"/>
        </w:rPr>
        <w:t>（外文版请附相应的文字翻译）。</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p>
    <w:p>
      <w:pPr>
        <w:pStyle w:val="3"/>
        <w:topLinePunct/>
        <w:spacing w:line="360" w:lineRule="auto"/>
        <w:ind w:left="0" w:firstLine="640" w:firstLineChars="200"/>
        <w:rPr>
          <w:rFonts w:hint="eastAsia" w:ascii="仿宋" w:hAnsi="仿宋" w:eastAsia="仿宋" w:cs="仿宋"/>
          <w:b/>
          <w:bCs/>
          <w:color w:val="auto"/>
          <w:highlight w:val="none"/>
        </w:rPr>
      </w:pPr>
      <w:r>
        <w:rPr>
          <w:rFonts w:hint="eastAsia" w:ascii="黑体" w:hAnsi="黑体" w:eastAsia="黑体" w:cs="黑体"/>
          <w:color w:val="auto"/>
          <w:highlight w:val="none"/>
          <w:lang w:eastAsia="zh-CN"/>
        </w:rPr>
        <w:t>九</w:t>
      </w:r>
      <w:r>
        <w:rPr>
          <w:rFonts w:hint="eastAsia" w:ascii="黑体" w:hAnsi="黑体" w:eastAsia="黑体" w:cs="黑体"/>
          <w:color w:val="auto"/>
          <w:highlight w:val="none"/>
        </w:rPr>
        <w:t>、药品上市许可持有人和医疗器械注册人支持</w:t>
      </w:r>
    </w:p>
    <w:p>
      <w:pPr>
        <w:pStyle w:val="12"/>
        <w:topLinePunct/>
        <w:spacing w:line="360" w:lineRule="auto"/>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（一）扶持对象及标准</w:t>
      </w:r>
    </w:p>
    <w:p>
      <w:pPr>
        <w:keepNext w:val="0"/>
        <w:keepLines w:val="0"/>
        <w:pageBreakBefore w:val="0"/>
        <w:kinsoku/>
        <w:wordWrap/>
        <w:overflowPunct/>
        <w:topLinePunct w:val="0"/>
        <w:autoSpaceDE w:val="0"/>
        <w:autoSpaceDN w:val="0"/>
        <w:bidi w:val="0"/>
        <w:adjustRightInd w:val="0"/>
        <w:snapToGrid w:val="0"/>
        <w:spacing w:line="600" w:lineRule="exact"/>
        <w:ind w:right="0" w:rightChars="0" w:firstLine="664" w:firstLineChars="200"/>
        <w:textAlignment w:val="auto"/>
        <w:outlineLvl w:val="9"/>
        <w:rPr>
          <w:rFonts w:hint="default" w:ascii="Times New Roman" w:hAnsi="Times New Roman" w:eastAsia="仿宋_GB2312" w:cs="Times New Roman"/>
          <w:color w:val="auto"/>
          <w:spacing w:val="6"/>
          <w:kern w:val="32"/>
          <w:sz w:val="32"/>
          <w:szCs w:val="32"/>
          <w:highlight w:val="none"/>
        </w:rPr>
      </w:pPr>
      <w:r>
        <w:rPr>
          <w:rFonts w:hint="default" w:ascii="Times New Roman" w:hAnsi="Times New Roman" w:eastAsia="仿宋_GB2312" w:cs="Times New Roman"/>
          <w:color w:val="auto"/>
          <w:spacing w:val="6"/>
          <w:kern w:val="32"/>
          <w:sz w:val="32"/>
          <w:szCs w:val="32"/>
          <w:highlight w:val="none"/>
        </w:rPr>
        <w:t>区</w:t>
      </w:r>
      <w:r>
        <w:rPr>
          <w:rFonts w:hint="default" w:ascii="Times New Roman" w:hAnsi="Times New Roman" w:eastAsia="仿宋_GB2312" w:cs="Times New Roman"/>
          <w:color w:val="auto"/>
          <w:spacing w:val="6"/>
          <w:kern w:val="32"/>
          <w:sz w:val="32"/>
          <w:szCs w:val="32"/>
          <w:highlight w:val="none"/>
          <w:lang w:eastAsia="zh-CN"/>
        </w:rPr>
        <w:t>内</w:t>
      </w:r>
      <w:r>
        <w:rPr>
          <w:rFonts w:hint="default" w:ascii="Times New Roman" w:hAnsi="Times New Roman" w:eastAsia="仿宋_GB2312" w:cs="Times New Roman"/>
          <w:color w:val="auto"/>
          <w:spacing w:val="6"/>
          <w:kern w:val="32"/>
          <w:sz w:val="32"/>
          <w:szCs w:val="32"/>
          <w:highlight w:val="none"/>
        </w:rPr>
        <w:t>药品上市许可持有人每获得一个药品品种（该品种已经通过一致性评价或等同于通过一致性评价，不同规格视为同一个品种）且在</w:t>
      </w:r>
      <w:r>
        <w:rPr>
          <w:rFonts w:hint="default" w:ascii="Times New Roman" w:hAnsi="Times New Roman" w:eastAsia="仿宋_GB2312" w:cs="Times New Roman"/>
          <w:color w:val="auto"/>
          <w:spacing w:val="6"/>
          <w:kern w:val="32"/>
          <w:sz w:val="32"/>
          <w:szCs w:val="32"/>
          <w:highlight w:val="none"/>
          <w:lang w:eastAsia="zh-CN"/>
        </w:rPr>
        <w:t>我</w:t>
      </w:r>
      <w:r>
        <w:rPr>
          <w:rFonts w:hint="default" w:ascii="Times New Roman" w:hAnsi="Times New Roman" w:eastAsia="仿宋_GB2312" w:cs="Times New Roman"/>
          <w:color w:val="auto"/>
          <w:spacing w:val="6"/>
          <w:kern w:val="32"/>
          <w:sz w:val="32"/>
          <w:szCs w:val="32"/>
          <w:highlight w:val="none"/>
        </w:rPr>
        <w:t>区销售和结算的，给予200万元奖励，企业年度获得本项奖励总额最高不超过1000万元。同一个品种不能同时享受项目研发与产业化支持及一致性评价支持。</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（二）扶持时间</w:t>
      </w:r>
    </w:p>
    <w:p>
      <w:pPr>
        <w:adjustRightInd w:val="0"/>
        <w:snapToGrid w:val="0"/>
        <w:spacing w:line="360" w:lineRule="auto"/>
        <w:ind w:firstLine="664"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snapToGrid w:val="0"/>
          <w:color w:val="auto"/>
          <w:spacing w:val="6"/>
          <w:kern w:val="32"/>
          <w:sz w:val="32"/>
          <w:szCs w:val="32"/>
          <w:highlight w:val="none"/>
          <w:lang w:val="en-US" w:eastAsia="zh-CN" w:bidi="ar-SA"/>
        </w:rPr>
        <w:t>2021年1月1日-2021年9月30日</w:t>
      </w:r>
      <w:r>
        <w:rPr>
          <w:rFonts w:hint="eastAsia" w:ascii="仿宋_GB2312" w:hAnsi="仿宋_GB2312" w:eastAsia="仿宋_GB2312" w:cs="仿宋_GB2312"/>
          <w:snapToGrid w:val="0"/>
          <w:color w:val="auto"/>
          <w:spacing w:val="6"/>
          <w:kern w:val="32"/>
          <w:sz w:val="32"/>
          <w:szCs w:val="32"/>
          <w:highlight w:val="none"/>
          <w:lang w:val="en-US" w:eastAsia="zh-CN" w:bidi="ar-SA"/>
        </w:rPr>
        <w:t>期间获得药品品种</w:t>
      </w:r>
      <w:r>
        <w:rPr>
          <w:rFonts w:hint="default" w:ascii="Times New Roman" w:hAnsi="Times New Roman" w:eastAsia="仿宋_GB2312" w:cs="Times New Roman"/>
          <w:color w:val="auto"/>
          <w:spacing w:val="6"/>
          <w:kern w:val="32"/>
          <w:sz w:val="32"/>
          <w:szCs w:val="32"/>
          <w:highlight w:val="none"/>
        </w:rPr>
        <w:t>且在</w:t>
      </w:r>
      <w:r>
        <w:rPr>
          <w:rFonts w:hint="default" w:ascii="Times New Roman" w:hAnsi="Times New Roman" w:eastAsia="仿宋_GB2312" w:cs="Times New Roman"/>
          <w:color w:val="auto"/>
          <w:spacing w:val="6"/>
          <w:kern w:val="32"/>
          <w:sz w:val="32"/>
          <w:szCs w:val="32"/>
          <w:highlight w:val="none"/>
          <w:lang w:eastAsia="zh-CN"/>
        </w:rPr>
        <w:t>我</w:t>
      </w:r>
      <w:r>
        <w:rPr>
          <w:rFonts w:hint="default" w:ascii="Times New Roman" w:hAnsi="Times New Roman" w:eastAsia="仿宋_GB2312" w:cs="Times New Roman"/>
          <w:color w:val="auto"/>
          <w:spacing w:val="6"/>
          <w:kern w:val="32"/>
          <w:sz w:val="32"/>
          <w:szCs w:val="32"/>
          <w:highlight w:val="none"/>
        </w:rPr>
        <w:t>区销售和结算</w:t>
      </w:r>
      <w:r>
        <w:rPr>
          <w:rFonts w:hint="eastAsia" w:eastAsia="仿宋_GB2312" w:cs="Times New Roman"/>
          <w:color w:val="auto"/>
          <w:spacing w:val="6"/>
          <w:kern w:val="32"/>
          <w:sz w:val="32"/>
          <w:szCs w:val="32"/>
          <w:highlight w:val="none"/>
          <w:lang w:eastAsia="zh-CN"/>
        </w:rPr>
        <w:t>。</w:t>
      </w:r>
      <w:bookmarkStart w:id="0" w:name="_GoBack"/>
      <w:bookmarkEnd w:id="0"/>
    </w:p>
    <w:p>
      <w:pPr>
        <w:pStyle w:val="3"/>
        <w:topLinePunct/>
        <w:spacing w:line="360" w:lineRule="auto"/>
        <w:ind w:left="0" w:firstLine="640" w:firstLineChars="20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（三）申报材料</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1.资金申报表（附件2）；</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2.项目资金申请承诺书（附件3）；</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3.工商营业执照复印件；</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4.上年度经会计师事务所审计的财务报表复印件（资金申报年度新注册企业不提供）及最近一月的财务报表；</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5.专项资金申请报告（参照附件4）；</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区内</w:t>
      </w:r>
      <w:r>
        <w:rPr>
          <w:rFonts w:hint="default" w:ascii="Times New Roman" w:hAnsi="Times New Roman" w:eastAsia="仿宋_GB2312" w:cs="Times New Roman"/>
          <w:color w:val="auto"/>
          <w:spacing w:val="6"/>
          <w:kern w:val="32"/>
          <w:sz w:val="32"/>
          <w:szCs w:val="32"/>
          <w:highlight w:val="none"/>
        </w:rPr>
        <w:t>药品上市许可持有人</w:t>
      </w:r>
      <w:r>
        <w:rPr>
          <w:rFonts w:hint="eastAsia" w:eastAsia="仿宋_GB2312" w:cs="Times New Roman"/>
          <w:color w:val="auto"/>
          <w:spacing w:val="6"/>
          <w:kern w:val="32"/>
          <w:sz w:val="32"/>
          <w:szCs w:val="32"/>
          <w:highlight w:val="none"/>
          <w:lang w:eastAsia="zh-CN"/>
        </w:rPr>
        <w:t>获得</w:t>
      </w:r>
      <w:r>
        <w:rPr>
          <w:rFonts w:hint="default" w:ascii="Times New Roman" w:hAnsi="Times New Roman" w:eastAsia="仿宋_GB2312" w:cs="Times New Roman"/>
          <w:color w:val="auto"/>
          <w:spacing w:val="6"/>
          <w:kern w:val="32"/>
          <w:sz w:val="32"/>
          <w:szCs w:val="32"/>
          <w:highlight w:val="none"/>
        </w:rPr>
        <w:t>药品品种</w:t>
      </w:r>
      <w:r>
        <w:rPr>
          <w:rFonts w:hint="eastAsia" w:ascii="仿宋_GB2312" w:hAnsi="仿宋_GB2312" w:eastAsia="仿宋_GB2312" w:cs="仿宋_GB2312"/>
          <w:color w:val="auto"/>
          <w:sz w:val="32"/>
          <w:szCs w:val="32"/>
          <w:highlight w:val="none"/>
        </w:rPr>
        <w:t>及在开发区实现产业化的证明材料</w:t>
      </w:r>
      <w:r>
        <w:rPr>
          <w:rFonts w:hint="eastAsia" w:ascii="仿宋_GB2312" w:hAnsi="仿宋_GB2312" w:eastAsia="仿宋_GB2312" w:cs="仿宋_GB2312"/>
          <w:color w:val="auto"/>
          <w:sz w:val="32"/>
          <w:szCs w:val="32"/>
          <w:highlight w:val="none"/>
          <w:lang w:eastAsia="zh-CN"/>
        </w:rPr>
        <w:t>。</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p>
    <w:sectPr>
      <w:footerReference r:id="rId3" w:type="default"/>
      <w:pgSz w:w="11906" w:h="16838"/>
      <w:pgMar w:top="1021" w:right="1474" w:bottom="102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仿宋_GB2312">
    <w:panose1 w:val="02010609030101010101"/>
    <w:charset w:val="86"/>
    <w:family w:val="modern"/>
    <w:pitch w:val="default"/>
    <w:sig w:usb0="00000001"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469772"/>
    <w:multiLevelType w:val="singleLevel"/>
    <w:tmpl w:val="CD469772"/>
    <w:lvl w:ilvl="0" w:tentative="0">
      <w:start w:val="2"/>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F4"/>
    <w:rsid w:val="0001223A"/>
    <w:rsid w:val="00026609"/>
    <w:rsid w:val="000907B7"/>
    <w:rsid w:val="000A2BE1"/>
    <w:rsid w:val="000D2F76"/>
    <w:rsid w:val="00133FF4"/>
    <w:rsid w:val="001577B8"/>
    <w:rsid w:val="0016685D"/>
    <w:rsid w:val="00236EF7"/>
    <w:rsid w:val="0026065C"/>
    <w:rsid w:val="00262A79"/>
    <w:rsid w:val="002805C1"/>
    <w:rsid w:val="00282E8F"/>
    <w:rsid w:val="002A021C"/>
    <w:rsid w:val="002B65D4"/>
    <w:rsid w:val="00346D68"/>
    <w:rsid w:val="00456AC8"/>
    <w:rsid w:val="004700E6"/>
    <w:rsid w:val="00472238"/>
    <w:rsid w:val="004C06C1"/>
    <w:rsid w:val="004C0D20"/>
    <w:rsid w:val="00524174"/>
    <w:rsid w:val="0054511F"/>
    <w:rsid w:val="005A6DB0"/>
    <w:rsid w:val="005D5010"/>
    <w:rsid w:val="005E644A"/>
    <w:rsid w:val="00600DAB"/>
    <w:rsid w:val="006A79FB"/>
    <w:rsid w:val="007C512D"/>
    <w:rsid w:val="00852E31"/>
    <w:rsid w:val="00867AAD"/>
    <w:rsid w:val="0088005C"/>
    <w:rsid w:val="00A93CE2"/>
    <w:rsid w:val="00AC7F11"/>
    <w:rsid w:val="00B55682"/>
    <w:rsid w:val="00C0148B"/>
    <w:rsid w:val="00C05947"/>
    <w:rsid w:val="00E32E0F"/>
    <w:rsid w:val="00E523D2"/>
    <w:rsid w:val="00ED5572"/>
    <w:rsid w:val="00F071CF"/>
    <w:rsid w:val="00F179B5"/>
    <w:rsid w:val="00F23CCC"/>
    <w:rsid w:val="00F439B6"/>
    <w:rsid w:val="00F512E1"/>
    <w:rsid w:val="00FD28CC"/>
    <w:rsid w:val="00FD5EF6"/>
    <w:rsid w:val="00FE5A0C"/>
    <w:rsid w:val="021168A4"/>
    <w:rsid w:val="02371768"/>
    <w:rsid w:val="0302317C"/>
    <w:rsid w:val="03A4242B"/>
    <w:rsid w:val="052566FD"/>
    <w:rsid w:val="05F96660"/>
    <w:rsid w:val="08B602BA"/>
    <w:rsid w:val="094B26BB"/>
    <w:rsid w:val="099E5247"/>
    <w:rsid w:val="0C4416A8"/>
    <w:rsid w:val="0D7C7C44"/>
    <w:rsid w:val="0FD07EB3"/>
    <w:rsid w:val="0FFB463B"/>
    <w:rsid w:val="11CB78BA"/>
    <w:rsid w:val="1218323E"/>
    <w:rsid w:val="14B97E92"/>
    <w:rsid w:val="14FF70C2"/>
    <w:rsid w:val="152712B7"/>
    <w:rsid w:val="16A550D7"/>
    <w:rsid w:val="1771312F"/>
    <w:rsid w:val="17777A13"/>
    <w:rsid w:val="18481D43"/>
    <w:rsid w:val="18A81723"/>
    <w:rsid w:val="1A0640D9"/>
    <w:rsid w:val="1A4B1F2C"/>
    <w:rsid w:val="1CDF0DDD"/>
    <w:rsid w:val="1F263B7C"/>
    <w:rsid w:val="20024DF8"/>
    <w:rsid w:val="2009589D"/>
    <w:rsid w:val="24931CC8"/>
    <w:rsid w:val="269A25CE"/>
    <w:rsid w:val="26EA34FD"/>
    <w:rsid w:val="27020CCD"/>
    <w:rsid w:val="271433E2"/>
    <w:rsid w:val="275D0B15"/>
    <w:rsid w:val="29E41652"/>
    <w:rsid w:val="2A472BF6"/>
    <w:rsid w:val="2CE17D64"/>
    <w:rsid w:val="2FC663E0"/>
    <w:rsid w:val="307425E0"/>
    <w:rsid w:val="319B57FA"/>
    <w:rsid w:val="32A86E3F"/>
    <w:rsid w:val="33753EB6"/>
    <w:rsid w:val="33850FB9"/>
    <w:rsid w:val="34864962"/>
    <w:rsid w:val="37E7337A"/>
    <w:rsid w:val="38FE2C7B"/>
    <w:rsid w:val="3B7215C1"/>
    <w:rsid w:val="3D9E5B24"/>
    <w:rsid w:val="3DA263E6"/>
    <w:rsid w:val="3DD41F10"/>
    <w:rsid w:val="3E372740"/>
    <w:rsid w:val="3FF43692"/>
    <w:rsid w:val="401F49DA"/>
    <w:rsid w:val="439A1EDF"/>
    <w:rsid w:val="44764BB2"/>
    <w:rsid w:val="449C2C9B"/>
    <w:rsid w:val="4523119A"/>
    <w:rsid w:val="45EE0869"/>
    <w:rsid w:val="47F32258"/>
    <w:rsid w:val="48B22532"/>
    <w:rsid w:val="48CE1014"/>
    <w:rsid w:val="49F61EE4"/>
    <w:rsid w:val="4A312BBD"/>
    <w:rsid w:val="4A88770E"/>
    <w:rsid w:val="4E324915"/>
    <w:rsid w:val="4E825518"/>
    <w:rsid w:val="4F8544CD"/>
    <w:rsid w:val="505C3E92"/>
    <w:rsid w:val="5061126F"/>
    <w:rsid w:val="50B140BA"/>
    <w:rsid w:val="535655AE"/>
    <w:rsid w:val="57386CA4"/>
    <w:rsid w:val="5E4802B4"/>
    <w:rsid w:val="61CD1735"/>
    <w:rsid w:val="62B17C4F"/>
    <w:rsid w:val="63055BE7"/>
    <w:rsid w:val="65104E1E"/>
    <w:rsid w:val="65362F4F"/>
    <w:rsid w:val="65465872"/>
    <w:rsid w:val="67F74AF0"/>
    <w:rsid w:val="6A2B6D03"/>
    <w:rsid w:val="6CC874A0"/>
    <w:rsid w:val="6D402941"/>
    <w:rsid w:val="6DEC1E25"/>
    <w:rsid w:val="71741BE6"/>
    <w:rsid w:val="72BD127E"/>
    <w:rsid w:val="731A6E1B"/>
    <w:rsid w:val="732F0ED9"/>
    <w:rsid w:val="758920B5"/>
    <w:rsid w:val="75C53B47"/>
    <w:rsid w:val="75D951A7"/>
    <w:rsid w:val="76D81356"/>
    <w:rsid w:val="77B743CB"/>
    <w:rsid w:val="77F8767B"/>
    <w:rsid w:val="7AC96B75"/>
    <w:rsid w:val="7AEA0911"/>
    <w:rsid w:val="7C204561"/>
    <w:rsid w:val="7DB81F0C"/>
    <w:rsid w:val="7DD8701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autoSpaceDE w:val="0"/>
      <w:autoSpaceDN w:val="0"/>
      <w:adjustRightInd w:val="0"/>
      <w:snapToGrid w:val="0"/>
      <w:spacing w:line="300" w:lineRule="auto"/>
      <w:jc w:val="left"/>
    </w:pPr>
    <w:rPr>
      <w:rFonts w:eastAsia="方正仿宋简体"/>
      <w:snapToGrid w:val="0"/>
      <w:spacing w:val="6"/>
      <w:kern w:val="32"/>
      <w:sz w:val="32"/>
    </w:rPr>
  </w:style>
  <w:style w:type="paragraph" w:styleId="3">
    <w:name w:val="Body Text"/>
    <w:basedOn w:val="1"/>
    <w:qFormat/>
    <w:uiPriority w:val="0"/>
    <w:pPr>
      <w:ind w:left="120"/>
    </w:pPr>
    <w:rPr>
      <w:rFonts w:ascii="Microsoft JhengHei" w:eastAsia="Microsoft JhengHei" w:cs="Microsoft JhengHei"/>
      <w:sz w:val="32"/>
      <w:szCs w:val="32"/>
    </w:rPr>
  </w:style>
  <w:style w:type="paragraph" w:styleId="4">
    <w:name w:val="Body Text Indent"/>
    <w:basedOn w:val="1"/>
    <w:link w:val="15"/>
    <w:qFormat/>
    <w:uiPriority w:val="0"/>
    <w:pPr>
      <w:spacing w:line="580" w:lineRule="exact"/>
      <w:ind w:firstLine="640" w:firstLineChars="200"/>
    </w:pPr>
    <w:rPr>
      <w:rFonts w:ascii="仿宋_GB2312" w:hAnsi="Calibri" w:eastAsia="仿宋_GB2312" w:cs="Times New Roman"/>
      <w:sz w:val="32"/>
    </w:rPr>
  </w:style>
  <w:style w:type="paragraph" w:styleId="5">
    <w:name w:val="Balloon Text"/>
    <w:basedOn w:val="1"/>
    <w:link w:val="16"/>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annotation reference"/>
    <w:unhideWhenUsed/>
    <w:qFormat/>
    <w:uiPriority w:val="99"/>
    <w:rPr>
      <w:sz w:val="21"/>
      <w:szCs w:val="21"/>
    </w:rPr>
  </w:style>
  <w:style w:type="paragraph" w:customStyle="1" w:styleId="11">
    <w:name w:val="List Paragraph"/>
    <w:basedOn w:val="1"/>
    <w:qFormat/>
    <w:uiPriority w:val="34"/>
    <w:pPr>
      <w:ind w:firstLine="420" w:firstLineChars="200"/>
    </w:pPr>
  </w:style>
  <w:style w:type="paragraph" w:customStyle="1" w:styleId="12">
    <w:name w:val="列出段落1"/>
    <w:basedOn w:val="1"/>
    <w:qFormat/>
    <w:uiPriority w:val="34"/>
    <w:pPr>
      <w:ind w:firstLine="420" w:firstLineChars="200"/>
    </w:pPr>
  </w:style>
  <w:style w:type="character" w:customStyle="1" w:styleId="13">
    <w:name w:val="页眉 Char"/>
    <w:link w:val="7"/>
    <w:semiHidden/>
    <w:qFormat/>
    <w:uiPriority w:val="99"/>
    <w:rPr>
      <w:rFonts w:ascii="Times New Roman" w:hAnsi="Times New Roman" w:eastAsia="宋体" w:cs="Times New Roman"/>
      <w:sz w:val="18"/>
      <w:szCs w:val="18"/>
    </w:rPr>
  </w:style>
  <w:style w:type="character" w:customStyle="1" w:styleId="14">
    <w:name w:val="正文文本缩进 Char1"/>
    <w:link w:val="4"/>
    <w:semiHidden/>
    <w:qFormat/>
    <w:uiPriority w:val="99"/>
    <w:rPr>
      <w:rFonts w:ascii="Times New Roman" w:hAnsi="Times New Roman" w:eastAsia="宋体" w:cs="Times New Roman"/>
      <w:szCs w:val="24"/>
    </w:rPr>
  </w:style>
  <w:style w:type="character" w:customStyle="1" w:styleId="15">
    <w:name w:val="正文文本缩进 Char"/>
    <w:link w:val="4"/>
    <w:qFormat/>
    <w:uiPriority w:val="0"/>
    <w:rPr>
      <w:rFonts w:ascii="仿宋_GB2312" w:eastAsia="仿宋_GB2312"/>
      <w:sz w:val="32"/>
      <w:szCs w:val="24"/>
    </w:rPr>
  </w:style>
  <w:style w:type="character" w:customStyle="1" w:styleId="16">
    <w:name w:val="批注框文本 Char"/>
    <w:link w:val="5"/>
    <w:semiHidden/>
    <w:qFormat/>
    <w:uiPriority w:val="99"/>
    <w:rPr>
      <w:rFonts w:ascii="Times New Roman" w:hAnsi="Times New Roman" w:eastAsia="宋体" w:cs="Times New Roman"/>
      <w:kern w:val="2"/>
      <w:sz w:val="18"/>
      <w:szCs w:val="18"/>
    </w:rPr>
  </w:style>
  <w:style w:type="character" w:customStyle="1" w:styleId="17">
    <w:name w:val="页脚 Char"/>
    <w:link w:val="6"/>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nhtp</Company>
  <Pages>8</Pages>
  <Words>547</Words>
  <Characters>3124</Characters>
  <Lines>26</Lines>
  <Paragraphs>7</Paragraphs>
  <TotalTime>5</TotalTime>
  <ScaleCrop>false</ScaleCrop>
  <LinksUpToDate>false</LinksUpToDate>
  <CharactersWithSpaces>3664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2016-11-14T04:50:00Z</dcterms:created>
  <dc:creator>温锦涛</dc:creator>
  <cp:lastModifiedBy>力</cp:lastModifiedBy>
  <cp:lastPrinted>2021-09-01T00:58:48Z</cp:lastPrinted>
  <dcterms:modified xsi:type="dcterms:W3CDTF">2021-09-01T01:30:35Z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D13137E966934764ABDD5B1CF840B10B</vt:lpwstr>
  </property>
</Properties>
</file>